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4597-2022 i Knivsta kommun</w:t>
      </w:r>
    </w:p>
    <w:p>
      <w:r>
        <w:t>Detta klagomål behandlar höga naturvärden i samrådsanmälan S 4597-2022 i Knivsta kommun som inkom 2022-08-18 och omfattar 30,1 ha.</w:t>
      </w:r>
    </w:p>
    <w:p>
      <w:pPr>
        <w:pStyle w:val="Caption"/>
      </w:pPr>
      <w:r>
        <w:drawing>
          <wp:inline xmlns:a="http://schemas.openxmlformats.org/drawingml/2006/main" xmlns:pic="http://schemas.openxmlformats.org/drawingml/2006/picture">
            <wp:extent cx="5486400" cy="4722829"/>
            <wp:docPr id="1" name="Picture 1"/>
            <wp:cNvGraphicFramePr>
              <a:graphicFrameLocks noChangeAspect="1"/>
            </wp:cNvGraphicFramePr>
            <a:graphic>
              <a:graphicData uri="http://schemas.openxmlformats.org/drawingml/2006/picture">
                <pic:pic>
                  <pic:nvPicPr>
                    <pic:cNvPr id="0" name="S 4597-2022 karta.png"/>
                    <pic:cNvPicPr/>
                  </pic:nvPicPr>
                  <pic:blipFill>
                    <a:blip r:embed="rId16"/>
                    <a:stretch>
                      <a:fillRect/>
                    </a:stretch>
                  </pic:blipFill>
                  <pic:spPr>
                    <a:xfrm>
                      <a:off x="0" y="0"/>
                      <a:ext cx="5486400" cy="4722829"/>
                    </a:xfrm>
                    <a:prstGeom prst="rect"/>
                  </pic:spPr>
                </pic:pic>
              </a:graphicData>
            </a:graphic>
          </wp:inline>
        </w:drawing>
      </w:r>
    </w:p>
    <w:p>
      <w:pPr>
        <w:pStyle w:val="Caption"/>
        <w:spacing w:after="240"/>
      </w:pPr>
      <w:r>
        <w:t>Figur 1. Fyndplatser för naturvårdsarter i och inom 17 meter från samrådsanmälan. Markörer utan svart kant är placerade på fyndplatsen. Markörer med svart kant är placerade vid sidan av fyndplatsen och har ett svart streck som visar fyndplatsens exakta position. Kartans mittpunktskoordinat är N 6628497, E 650584 i SWEREF 99 TM.</w:t>
      </w:r>
    </w:p>
    <w:p>
      <w:r>
        <w:t>I och inom 17 meter från samrådsanmälan finns fynd av 7 naturvårdsarter, varav 4 är rödlistade, 3 är fridlysta och 2 är typiska (T): franstandad barkskinnbagge (EN), skrovlig taggsvamp (VU), bronspraktbagge (NT), tallticka (NT, T), järpe (T, §4), havsörn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Franstandad barkskinnbagge (EN)</w:t>
      </w:r>
      <w:r>
        <w:t xml:space="preserve"> är en starkt hotad barrskogsart som mestadels är funnen under bark på grövre granstubbar, som är angripna av luktticka. Arten hotas av bristen på död ved, i synnerhet högstubbar, i granskogar. Genom bekämpningsaktioner mot barkborrar, borttransport av vindfällen och även av branddödade granar har substratet för den franstandade barkskinnbaggen minskat (SLU Artdatabanken, 2024).</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Bronspraktbagge (NT)</w:t>
      </w:r>
      <w:r>
        <w:t xml:space="preserve"> är en skalbagge vars larvutveckling sker i solexponerad, stående död ved av tall och gran. Arten missgynnas genom att glesa, äldre barrskogar avverkas och ersätts med täta barrträdsplanteringar. Äldre, glesa barrskogar med gott om grov död ved i främst sydöstra Sverige bör bevaras i sin helhet och inte avverkas. Bränd barrskog bör bevaras intakt, och naturvårdsbränningar är positivt. Torra, solexponerade barrträd i skogen bör få vara kvar, och inte plockas ut som exempelvis biobränsle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