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4056-2022 i Knivsta kommun</w:t>
      </w:r>
    </w:p>
    <w:p>
      <w:r>
        <w:t>Detta dokument behandlar höga naturvärden i avverkningsanmälan A 4056-2022 i Knivsta kommun. Denna avverkningsanmälan inkom 2022-01-27 00:00:00 och omfattar 14,4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33 naturvårdsarter hittats: knärot (VU, §8), koppartaggsvamp (VU), rynkskinn (VU), entita (NT, §4), gransotdyna (NT), granticka (NT), gränsticka (NT), kandelabersvamp (NT), Leptoporus mollis (NT), mindre hackspett (NT, §4), orange taggsvamp (NT), rosenticka (NT), skrovlig taggsvamp (NT), spillkråka (NT, §4), svart taggsvamp (NT), såpfingersvamp (NT), tallticka (NT), ullticka (NT), blodticka (S), blomkålssvamp (S), blåmossa (S), dropptaggsvamp (S), grovticka (S), gullgröppa (S), mindre märgborre (S), rödgul trumpetsvamp (S), skarp dropptaggsvamp (S), smal svampklubba (S), svart trolldruva (S), trådticka (S), skogsduva (§4), fläcknycklar (§8) och blåsippa (§9). Av dessa är 18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90413"/>
            <wp:docPr id="1" name="Picture 1"/>
            <wp:cNvGraphicFramePr>
              <a:graphicFrameLocks noChangeAspect="1"/>
            </wp:cNvGraphicFramePr>
            <a:graphic>
              <a:graphicData uri="http://schemas.openxmlformats.org/drawingml/2006/picture">
                <pic:pic>
                  <pic:nvPicPr>
                    <pic:cNvPr id="0" name="A 4056-2022 karta.png"/>
                    <pic:cNvPicPr/>
                  </pic:nvPicPr>
                  <pic:blipFill>
                    <a:blip r:embed="rId16"/>
                    <a:stretch>
                      <a:fillRect/>
                    </a:stretch>
                  </pic:blipFill>
                  <pic:spPr>
                    <a:xfrm>
                      <a:off x="0" y="0"/>
                      <a:ext cx="5486400" cy="53904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6626252, E 654942 i SWEREF 99 TM.</w:t>
      </w:r>
    </w:p>
    <w:p>
      <w:r>
        <w:rPr>
          <w:b/>
        </w:rPr>
        <w:t xml:space="preserve">Blodticka </w:t>
      </w:r>
      <w:r>
        <w:t xml:space="preserve">är i norra Sverige främst knuten till grova granlågor i urskogsartad barrskog, men förekommer ibland även på klenare granar i anslutning till bäckar och sumpskogar. Den är en bra indikator på granskogar med höga naturvärden och oftast förekommer den tillsammans med ett stort antal ovanliga och rödlistade arter. I södra Sverige växer den framför allt på tall och har då ett lägre signalvärde. Blodticka är typisk art för </w:t>
      </w:r>
      <w:r>
        <w:rPr>
          <w:i/>
        </w:rPr>
        <w:t>9030 Landhöjningsskog</w:t>
      </w:r>
      <w:r>
        <w:t xml:space="preserve"> (SLU Artdatabanken, 2025; Nitare &amp; Skogsstyrelsen, 2019).</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r>
        <w:rPr>
          <w:b/>
        </w:rPr>
        <w:t>Gransotdyna (NT)</w:t>
      </w:r>
      <w:r>
        <w:t xml:space="preserve"> är en nedbrytare på grova, murkna, ofta barklösa stubbar och liggande stammar av gran, sällan även av bok. Den kräver tillgång till lågor och stubbar i frisk till fuktig miljö och är helt bunden till skogsbestånd med hög bonitet. Gransotdyna hotas av det intensiva utnyttjandet av granskogar med hög bonitet. Arten förekommer främst i de sydliga delarna av landet där bristen på äldre skog är mest påtaglig. Alla lokaler för arten måste undantas från rationellt skogsbruk och tillgången på död ved av grova dimensioner måste säkerställas. Fler områden med äldre granskog måste skyddas i södra Sverige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Grovticka</w:t>
      </w:r>
      <w:r>
        <w:t xml:space="preserve"> är i skogslandskapet främst knuten till naturskogsartad äldre barrskog. Den är där en värdefull ”gammelskogsindikator” och påträffas mest vid tallar som är över 200 år gamla.  Grovticka är typisk art för </w:t>
      </w:r>
      <w:r>
        <w:rPr>
          <w:i/>
        </w:rPr>
        <w:t xml:space="preserve">9060 Åsbarrskog </w:t>
      </w:r>
      <w:r>
        <w:t>(Nitare &amp; Skogsstyrelsen, 2019; SLU Artdatabanken, 2025).</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Gränsticka är typisk art för </w:t>
      </w:r>
      <w:r>
        <w:rPr>
          <w:i/>
        </w:rPr>
        <w:t>9010 Taiga</w:t>
      </w:r>
      <w:r>
        <w:t xml:space="preserve"> (SLU Artdatabanken, 2024; Nitare &amp; Skogsstyrelsen, 2019).</w:t>
      </w:r>
    </w:p>
    <w:p>
      <w:r>
        <w:rPr>
          <w:b/>
        </w:rPr>
        <w:t>Kandelabersvamp (NT)</w:t>
      </w:r>
      <w:r>
        <w:t xml:space="preserve"> är en mycket bra signalart på skyddsvärda skogsbestånd i hela sitt utbredningsområde. Svampen indikerar sena aspsuccessioner inom områden med konstant hög luftfuktighet. Kandelabersvamp är typisk art för </w:t>
      </w:r>
      <w:r>
        <w:rPr>
          <w:i/>
        </w:rPr>
        <w:t xml:space="preserve">9010 Taiga </w:t>
      </w:r>
      <w:r>
        <w:t>(Nitare &amp; Skogsstyrelsen, 2019; SLU Artdatabanken, 2025).</w:t>
      </w:r>
    </w:p>
    <w:p>
      <w:r>
        <w:rPr>
          <w:b/>
        </w:rPr>
        <w:t xml:space="preserve">Koppartaggsvamp (VU) </w:t>
      </w:r>
      <w:r>
        <w:t>bildar mykorrhiza med gran i örtrik äldre granskog på kalkrik mark. Arten är en mycket bra indikator på skyddsvärda kalkgranskogar och påfallande ofta växer den tillsammans med raggtaggsvamp (EN). Arten ingår i ett åtgärdsprogram för hotade arter (ÅGP) och dess långsiktiga överlevnad säkras genom att växtplatserna undantas från avverkning (SLU Artdatabanken, 2024; Nitare &amp; Skogsstyrelsen, 2019).</w:t>
      </w:r>
    </w:p>
    <w:p>
      <w:r>
        <w:rPr>
          <w:b/>
          <w:i/>
        </w:rPr>
        <w:t xml:space="preserve">Leptoporus mollis </w:t>
      </w:r>
      <w:r>
        <w:rPr>
          <w:b/>
        </w:rPr>
        <w:t>(NT)</w:t>
      </w:r>
      <w:r>
        <w:t xml:space="preserve"> är granens kötticka och har klassificerats som ”gammelskogsindikator”, då den förekommer med ett tydligt optimum i äldre barrskogar, främst fuktiga granskogar. Den har högst signalvärde söder om den naturliga norrlandsgränsen </w:t>
      </w:r>
      <w:r>
        <w:rPr>
          <w:i/>
        </w:rPr>
        <w:t>limes norrlandicus</w:t>
      </w:r>
      <w:r>
        <w:t>, men signalerar vanligtvis höga naturvärden även i Norrland. Arten är knuten till miljöer med konstant luftfuktighet och känslig för uttorkning som en avverkning kan medföra. Den totala populationen bedöms därför ha minskat under de senaste 30 åren och fortsätter att minska i takt med att grankontinuitetsskogar (skogar som inte kalavverkats) minskar i areal, samtidigt som att lämpliga miljöer inte återskapas i samma takt (SLU Artdatabanken, 2024; Nitare &amp; Skogsstyrelsen, 2019).</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(Pettersson, 2014; Hedgren, 2012; Gunnarsson m fl., 1999).</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(VU)</w:t>
      </w:r>
      <w:r>
        <w:t xml:space="preserve">,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Rynkskinn är typisk art för </w:t>
      </w:r>
      <w:r>
        <w:rPr>
          <w:i/>
        </w:rPr>
        <w:t xml:space="preserve">9010 Taiga, 9050 Näringsrik granskog </w:t>
      </w:r>
      <w:r>
        <w:t>och</w:t>
      </w:r>
      <w:r>
        <w:rPr>
          <w:i/>
        </w:rPr>
        <w:t xml:space="preserve"> 9030 Landhöjningsskog</w:t>
      </w:r>
      <w:r>
        <w:t xml:space="preserve"> (Nitare &amp; Skogsstyrelsen, 2019; SLU Artdatabanken, 2024).</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rPr>
          <w:b/>
        </w:rPr>
        <w:t xml:space="preserve">Såpfingersvamp (NT) </w:t>
      </w:r>
      <w:r>
        <w:t>är en sällsynt ”toppart” som bildar mykorrhiza med gran i kalkbarrskog, sällsynt även med ek, hassel och bok i kalkrik ädellövskog. Status i landet något oklar men eftersökt och uppenbarligen mycket ovanlig och med liten förekomstarea. All form av skogsavverkning i eller i närheten av växtplatsen som kan påverka lokalens mikroklimat utgör ett hot. Växtplatserna bör skyddas och arten bör eftersökas på nya lokaler i såväl kalkgranskogar som rika ädellövskogar i södra Sverige. Såpfingersvamp är placerad högst upp i Skogsstyrelsens värdepyramid för bedömning av skog med höga naturvärden (SLU Artdatabanken, 2024; Nitare &amp; Skogsstyrelsen, 2019).</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entita (NT, §4), mindre hackspett (NT, §4), spillkråka (NT, §4), skogsduva (§4), fläcknycklar (§8)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Entita (NT, §4)</w:t>
      </w:r>
      <w:r>
        <w:t xml:space="preserve">,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Entita är typisk art för </w:t>
      </w:r>
      <w:r>
        <w:rPr>
          <w:i/>
        </w:rPr>
        <w:t>9080 Lövsumpskog</w:t>
      </w:r>
      <w:r>
        <w:t xml:space="preserve"> (Skogsstyrelsen, 2016, SLU Artdatabanken, 2021).</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13 fyndplatser för knärot registrerade på Artportalen. Figur 2 visar gränserna för buffertzoner på 50 m, som behöver lämnas kring fyndplatserna för att knärotslokalerna inte ska försvinna vid en avverkning. Av det avverkningsanmälda området överlappar 4.60 ha med buffertzonerna och får av detta skäl inte avverkas.</w:t>
      </w:r>
    </w:p>
    <w:p>
      <w:pPr>
        <w:pStyle w:val="Caption"/>
      </w:pPr>
      <w:r>
        <w:drawing>
          <wp:inline xmlns:a="http://schemas.openxmlformats.org/drawingml/2006/main" xmlns:pic="http://schemas.openxmlformats.org/drawingml/2006/picture">
            <wp:extent cx="5486400" cy="6944233"/>
            <wp:docPr id="2" name="Picture 2"/>
            <wp:cNvGraphicFramePr>
              <a:graphicFrameLocks noChangeAspect="1"/>
            </wp:cNvGraphicFramePr>
            <a:graphic>
              <a:graphicData uri="http://schemas.openxmlformats.org/drawingml/2006/picture">
                <pic:pic>
                  <pic:nvPicPr>
                    <pic:cNvPr id="0" name="A 4056-2022 karta knärot.png"/>
                    <pic:cNvPicPr/>
                  </pic:nvPicPr>
                  <pic:blipFill>
                    <a:blip r:embed="rId17"/>
                    <a:stretch>
                      <a:fillRect/>
                    </a:stretch>
                  </pic:blipFill>
                  <pic:spPr>
                    <a:xfrm>
                      <a:off x="0" y="0"/>
                      <a:ext cx="5486400" cy="694423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6626252, E 654942 i SWEREF 99 TM.</w:t>
      </w:r>
    </w:p>
    <w:p>
      <w:pPr>
        <w:pStyle w:val="Caption"/>
      </w:pP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Mindre hackspett är typisk art för </w:t>
      </w:r>
      <w:r>
        <w:rPr>
          <w:i/>
        </w:rPr>
        <w:t>9010 Taiga, 9750 Svämlövskog, 9080 Lövsumpskog, 9030 Landhöjningsskog och 9040 Fjällbjörkskog</w:t>
      </w:r>
      <w:r>
        <w:t xml:space="preserve"> (SLU Artdatabanken, 2021 &amp; Skogsstyrelsen, 2016).</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Entita – ekologi samt krav på livsmiljön</w:t>
      </w:r>
    </w:p>
    <w:p>
      <w:r>
        <w:t xml:space="preserve">Entita (NT, §4) är rödlistad som nära hotad, fridlyst och prioriterad art enligt Skogsvårdslagen. Den omfattas av EU:s fågeldirektiv och är typisk art för </w:t>
      </w:r>
      <w:r>
        <w:rPr>
          <w:i/>
        </w:rPr>
        <w:t>9080 Lövsumpskog</w:t>
      </w:r>
      <w:r>
        <w:t>.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Mindre hackspett – ekologi samt krav på livsmiljön</w:t>
      </w:r>
    </w:p>
    <w:p>
      <w:r>
        <w:t xml:space="preserve">Mindre hackspett (NT) är rödlistad som nära hotad, fridlyst och prioriterad art i Skogsvårdslagen. Den är typisk art för </w:t>
      </w:r>
      <w:r>
        <w:rPr>
          <w:i/>
        </w:rPr>
        <w:t>9010 Taiga, 9750 Svämlövskog, 9080 Lövsumpskog, 9030 Landhöjningsskog och 9040 Fjällbjörkskog</w:t>
      </w:r>
      <w:r>
        <w:t>.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2024.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