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50248-2025 i Heby kommun</w:t>
      </w:r>
    </w:p>
    <w:p>
      <w:r>
        <w:t>Detta dokument behandlar höga naturvärden i avverkningsanmälan A 50248-2025 i Heby kommun. Denna avverkningsanmälan inkom 2025-10-14 07:28:00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grönhjon (NT), havsörn (NT, §4), järpe (NT, §4), spillkråka (NT, §4), talltita (NT, §4), tretåig hackspett (NT, §4), brandticka (S), bronshjon (S), thomsons trägnagare (S), vanlig flatbagge (S), grönsiska (§4), järnsparv (§4)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6680198, E 623762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Fridlysta arter</w:t>
      </w:r>
    </w:p>
    <w:p>
      <w:r>
        <w:t>Följande fridlysta arter har sina livsmiljöer och växtplatser i den avverkningsanmälda skogen: knärot (VU, §8), havsörn (NT, §4), järpe (NT, §4), spillkråka (NT, §4), talltita (NT, §4), tretåig hackspett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