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41020-2022 i Heby kommun</w:t>
      </w:r>
    </w:p>
    <w:p>
      <w:r>
        <w:t>Detta dokument behandlar höga naturvärden i avverkningsanmälan A 41020-2022 i Heby kommun. Denna avverkningsanmälan inkom 2022-09-20 och omfattar 32,8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6 naturvårdsarter hittats: knärot (VU, §8), garnlav (NT), motaggsvamp (NT), grönpyrola (S), plattlummer (S, §9) och fläcknycklar (§8).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45831"/>
            <wp:docPr id="1" name="Picture 1"/>
            <wp:cNvGraphicFramePr>
              <a:graphicFrameLocks noChangeAspect="1"/>
            </wp:cNvGraphicFramePr>
            <a:graphic>
              <a:graphicData uri="http://schemas.openxmlformats.org/drawingml/2006/picture">
                <pic:pic>
                  <pic:nvPicPr>
                    <pic:cNvPr id="0" name="A 41020-2022 karta.png"/>
                    <pic:cNvPicPr/>
                  </pic:nvPicPr>
                  <pic:blipFill>
                    <a:blip r:embed="rId16"/>
                    <a:stretch>
                      <a:fillRect/>
                    </a:stretch>
                  </pic:blipFill>
                  <pic:spPr>
                    <a:xfrm>
                      <a:off x="0" y="0"/>
                      <a:ext cx="5486400" cy="364583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6668851, E 603139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 xml:space="preserve">Grönpyrola </w:t>
      </w:r>
      <w:r>
        <w:t>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(Nitare &amp; Skogsstyrelsen, 2019).</w:t>
      </w:r>
    </w:p>
    <w:p>
      <w:r>
        <w:rPr>
          <w:b/>
        </w:rPr>
        <w:t xml:space="preserve">Motaggsvamp (NT) </w:t>
      </w:r>
      <w:r>
        <w:t>bildar mykorrhiza med tall i tallskog och hittas huvudsakligen i äldre, glesare skogsbestånd och hällmarksimpediment. Arten hotas främst av skogsavverkning och tycks försvinna efter slutavverkning, markberedning och plantering (SLU Artdatabanken, 2024).</w:t>
      </w:r>
    </w:p>
    <w:p>
      <w:pPr>
        <w:pStyle w:val="Heading1"/>
      </w:pPr>
      <w:r>
        <w:t>Fridlysta arter</w:t>
      </w:r>
    </w:p>
    <w:p>
      <w:r>
        <w:t>Följande fridlysta arter har sina livsmiljöer och växtplatser i den avverkningsanmälda skogen: knärot (VU, §8), plattlummer (S, §9) och fläcknycklar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1.24 ha med buffertzonerna och får av detta skäl inte avverkas.</w:t>
      </w:r>
    </w:p>
    <w:p>
      <w:pPr>
        <w:pStyle w:val="Caption"/>
      </w:pPr>
      <w:r>
        <w:drawing>
          <wp:inline xmlns:a="http://schemas.openxmlformats.org/drawingml/2006/main" xmlns:pic="http://schemas.openxmlformats.org/drawingml/2006/picture">
            <wp:extent cx="5486400" cy="4170498"/>
            <wp:docPr id="2" name="Picture 2"/>
            <wp:cNvGraphicFramePr>
              <a:graphicFrameLocks noChangeAspect="1"/>
            </wp:cNvGraphicFramePr>
            <a:graphic>
              <a:graphicData uri="http://schemas.openxmlformats.org/drawingml/2006/picture">
                <pic:pic>
                  <pic:nvPicPr>
                    <pic:cNvPr id="0" name="A 41020-2022 karta knärot.png"/>
                    <pic:cNvPicPr/>
                  </pic:nvPicPr>
                  <pic:blipFill>
                    <a:blip r:embed="rId17"/>
                    <a:stretch>
                      <a:fillRect/>
                    </a:stretch>
                  </pic:blipFill>
                  <pic:spPr>
                    <a:xfrm>
                      <a:off x="0" y="0"/>
                      <a:ext cx="5486400" cy="4170498"/>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6668851, E 603139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