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1330-2022 i Heby kommun</w:t>
      </w:r>
    </w:p>
    <w:p>
      <w:r>
        <w:t>Denna tillsynsbegäran behandlar höga naturvärden i samrådsanmälan S 1330-2022 i Heby kommun som inkom 2022-03-09 och omfattar 25,1 ha.</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0 fyndplatser för knärot registrerade på Artportalen. Figur 2 visar gränserna för buffertzoner på 50 m, som behöver lämnas kring fyndplatserna för att knärotslokalerna inte ska försvinna vid en avverkning. Av det samrådsanmälda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7198117"/>
            <wp:docPr id="1" name="Picture 1"/>
            <wp:cNvGraphicFramePr>
              <a:graphicFrameLocks noChangeAspect="1"/>
            </wp:cNvGraphicFramePr>
            <a:graphic>
              <a:graphicData uri="http://schemas.openxmlformats.org/drawingml/2006/picture">
                <pic:pic>
                  <pic:nvPicPr>
                    <pic:cNvPr id="0" name="S 1330-2022 karta knärot.png"/>
                    <pic:cNvPicPr/>
                  </pic:nvPicPr>
                  <pic:blipFill>
                    <a:blip r:embed="rId16"/>
                    <a:stretch>
                      <a:fillRect/>
                    </a:stretch>
                  </pic:blipFill>
                  <pic:spPr>
                    <a:xfrm>
                      <a:off x="0" y="0"/>
                      <a:ext cx="5486400" cy="7198117"/>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6661353, E 616846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