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44267-2026 i Heby kommun</w:t>
      </w:r>
    </w:p>
    <w:p>
      <w:r>
        <w:t>Denna tillsynsbegäran behandlar höga naturvärden i avverkningsanmälan A 44267-2026 i Heby kommun som inkom 2026-10-23 och omfattar 3,6 ha.</w:t>
      </w:r>
    </w:p>
    <w:p>
      <w:pPr>
        <w:pStyle w:val="Caption"/>
      </w:pPr>
      <w:r>
        <w:drawing>
          <wp:inline xmlns:a="http://schemas.openxmlformats.org/drawingml/2006/main" xmlns:pic="http://schemas.openxmlformats.org/drawingml/2006/picture">
            <wp:extent cx="4319555" cy="5724000"/>
            <wp:docPr id="1" name="Picture 1"/>
            <wp:cNvGraphicFramePr>
              <a:graphicFrameLocks noChangeAspect="1"/>
            </wp:cNvGraphicFramePr>
            <a:graphic>
              <a:graphicData uri="http://schemas.openxmlformats.org/drawingml/2006/picture">
                <pic:pic>
                  <pic:nvPicPr>
                    <pic:cNvPr id="0" name="A 44267-2026 karta.png"/>
                    <pic:cNvPicPr/>
                  </pic:nvPicPr>
                  <pic:blipFill>
                    <a:blip r:embed="rId16"/>
                    <a:stretch>
                      <a:fillRect/>
                    </a:stretch>
                  </pic:blipFill>
                  <pic:spPr>
                    <a:xfrm>
                      <a:off x="0" y="0"/>
                      <a:ext cx="4319555"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6677750, E 617565 i SWEREF 99 TM.</w:t>
      </w:r>
    </w:p>
    <w:p>
      <w:r>
        <w:t>Inom 21 meter från avverkningsanmälan finns fynd av 8 naturvårdsarter, varav 4 är rödlistade, 8 är fridlysta och 1 är typisk (T): järnsparv (NT, §4), ladusvala (NT, §4), sparvuggla (NT, §4), talltita (NT, §4), spillkråka (T, §4), gröngöling (§4), kungsfågel (§4) och slaguggla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