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25318-2025 i Heby kommun</w:t>
      </w:r>
    </w:p>
    <w:p>
      <w:r>
        <w:t>Detta dokument behandlar höga naturvärden i avverkningsanmälan A 25318-2025 i Heby kommun. Denna avverkningsanmälan inkom 2025-05-22 00:00:00 och omfattar 29,7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2313"/>
            <wp:docPr id="1" name="Picture 1"/>
            <wp:cNvGraphicFramePr>
              <a:graphicFrameLocks noChangeAspect="1"/>
            </wp:cNvGraphicFramePr>
            <a:graphic>
              <a:graphicData uri="http://schemas.openxmlformats.org/drawingml/2006/picture">
                <pic:pic>
                  <pic:nvPicPr>
                    <pic:cNvPr id="0" name="A 25318-2025 karta.png"/>
                    <pic:cNvPicPr/>
                  </pic:nvPicPr>
                  <pic:blipFill>
                    <a:blip r:embed="rId16"/>
                    <a:stretch>
                      <a:fillRect/>
                    </a:stretch>
                  </pic:blipFill>
                  <pic:spPr>
                    <a:xfrm>
                      <a:off x="0" y="0"/>
                      <a:ext cx="5486400" cy="601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6684182, E 620773 i SWEREF 99 TM.</w:t>
      </w:r>
    </w:p>
    <w:p>
      <w:pPr>
        <w:pStyle w:val="Heading1"/>
      </w:pPr>
      <w:r>
        <w:t>Fridlysta arter</w:t>
      </w:r>
    </w:p>
    <w:p>
      <w:r>
        <w:t>Följande fridlysta arter har sina livsmiljöer och växtplatser i den avverkningsanmälda skogen: slaguggla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Slaguggla (NT, §4)</w:t>
      </w:r>
      <w:r>
        <w:t>, rödlistad som nära hotad, är fridlyst enligt 4 § artskyddsförordningen och ingår i bilaga 1 EU:s fågeldirektiv. Artens minskningstakt har uppgått till 17 (0–33) % under de senaste 24 åren och bedöms vara nära gränsvärdet för Sårbar (VU). Tillgången på naturliga boplatser för slaguggla har minskat drastiskt och kommer även att minska i framtiden. Industriskogsbrukets korta omloppstider förhindrar nybildning av grova torrträd och utgör det största hotet mot arten. Skogsbrukets hänsyn måste tillåta att vissa skogsarealer, inte bara av låg bonitet, når mycket hög ålder.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Slaguggla – ekologi samt krav på livsmiljön</w:t>
      </w:r>
    </w:p>
    <w:p>
      <w:r>
        <w:t>Slaguggla (NT, §4) häckar i skogsmark, oftast i anslutning till myrar, hyggen och inägor. Den förekommer från mellersta Sverige norrut till Lule Lappmark och norra Norrbotten. Häckningsrevirets storlek varierar betydligt, från cirka 300 hektar till uppemot 600–700 hektar. De gamla fåglarna är mycket stationära och revirets storlek beror bland annat på närheten till grannrevir och kvaliteten på jaktmarkerna. Spridning av ungfåglar sker 5–70 km från boplatsen, i sällsynta fall kan ungfåglar vandra betydligt längre.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Industriskogsbrukets korta omloppstider (100–120 år) förhindrar nybildning av grova torrträd och utgör det största hotet mot arten. Skogsbrukets hänsyn måste tillåta att vissa skogsarealer, inte bara av låg bonitet, når mycket hög ålder. Tillgången på naturliga boplatser för slaguggla har minskat drastiskt och kommer även att minska i framtiden. Detta beror på det moderna skogsbrukets inriktning och metoder som inte längre tillåter utbildandet av träd av de dimensioner som säkerställer nybildning av lämpliga boplatser i form av rötade stammar som kan bilda ”skorstenar” eller större hål i samband med kvistbrott. Som exempel på vad som krävs kan nämnas att tolv, genom dendrokronologisk analys, daterade bebodda torrakstubbar i Hälsingland hade varit döda i 255 år (129–360 år) och var 200–400 år gamla innan de dog. De äldsta tallarna hade alltså börjat växa från begynnelsen av 1300-talet och de yngsta från mitten av 1600-talet (SLU Artdatabanken, 2024).</w:t>
      </w:r>
    </w:p>
    <w:p>
      <w:r>
        <w:t>Slaguggla (NT), fridlyst enligt §4 Artskyddsförordningen, är upptagen i bilaga 1 EU:s fågeldirektiv och bilaga 2 Bernkonventionen samt finns med som prioriterad art i Skogsstyrelsens vägledning för skogsbruket (SKSFS 2011:7). Minskningstakten har uppgått till 17 (0–33) % under de senaste 24 åren och bedöms vara nära gränsvärdet för Sårbar (VU). (A2bc) (SLU Artdatabanken, 2024).</w:t>
      </w:r>
    </w:p>
    <w:p>
      <w:pPr>
        <w:pStyle w:val="Heading2"/>
      </w:pPr>
      <w:r>
        <w:t>Referenser – slaguggla</w:t>
      </w:r>
    </w:p>
    <w:p>
      <w:r>
        <w:t xml:space="preserve">Skogsstyrelsen, 2016. </w:t>
      </w:r>
      <w:r>
        <w:rPr>
          <w:i/>
        </w:rPr>
        <w:t xml:space="preserve">Vägledning för hänsyn till fåglar – Slaguggla. </w:t>
      </w:r>
      <w:r>
        <w:t>www.skogsstyrelsen.se</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