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50248-2025 i Heby kommun</w:t>
      </w:r>
    </w:p>
    <w:p>
      <w:r>
        <w:t>Detta dokument behandlar höga naturvärden i avverkningsanmälan A 50248-2025 i Heby kommun. Denna avverkningsanmälan inkom 2025-10-14 07:28:00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knärot (VU, §8), grönhjon (NT), havsörn (NT, §4), järpe (NT, §4), spillkråka (NT, §4), talltita (NT, §4), tretåig hackspett (NT, §4), brandticka (S), bronshjon (S), thomsons trägnagare (S), vanlig flatbagge (S), grönsiska (§4), järnsparv (§4)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50248-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6680198, E 623762 i SWEREF 99 TM.</w:t>
      </w:r>
    </w:p>
    <w:p>
      <w:r>
        <w:rPr>
          <w:b/>
        </w:rPr>
        <w:t>Grönhjon (NT)</w:t>
      </w:r>
      <w:r>
        <w:t xml:space="preserve"> är en skalbagge vars larvutveckling framför allt sker i grovbarkiga grenar (minst 3–5 cm tjocka) på gamla granar, men även i klena stamdelar av barrträd, främst gran, i mindre omfattning tall. Arten är knuten till gamla och gärna glesa granskogar där det finns långsamväxande träd med välutvecklat grenverk. Larverna lever i den skrovliga barken och gör en flera cm bred platt gång som mest liknar en rund håla och är tydligt nedsänkt i vedytan. I kanten av eller mitt på gången finner man en 5 mm bred, oval gång in i grenens ved där arten gör sin puppkammare. Insekten kläcks sedan ut genom samma gång. Främsta hotet är att gamla granar med grova grenar försvinner genom skogsbruk. Äldre granbestånd bör sparas så långt det är möjligt, och inte gallras eller slutavverkas (SLU Artdatabanken, 2024).</w:t>
      </w:r>
    </w:p>
    <w:p>
      <w:pPr>
        <w:pStyle w:val="Heading1"/>
      </w:pPr>
      <w:r>
        <w:t>Fridlysta arter</w:t>
      </w:r>
    </w:p>
    <w:p>
      <w:r>
        <w:t>Följande fridlysta arter har sina livsmiljöer och växtplatser i den avverkningsanmälda skogen: knärot (VU, §8), havsörn (NT, §4), järpe (NT, §4), spillkråka (NT, §4), talltita (NT, §4), tretåig hackspett (NT, §4), grönsiska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1.97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50248-2025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6680198, E 623762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