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30090-2024 i Heby kommun</w:t>
      </w:r>
    </w:p>
    <w:p>
      <w:r>
        <w:t>Detta dokument behandlar höga naturvärden i avverkningsanmälan A 30090-2024 i Heby kommun. Denna avverkningsanmälan inkom 2024-07-12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aspsplintbock (VU), aspvedgnagare (S), björksplintborre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30090-2024 karta.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6671929, E 603735 i SWEREF 99 TM.</w:t>
      </w:r>
    </w:p>
    <w:p>
      <w:r>
        <w:rPr>
          <w:b/>
        </w:rPr>
        <w:t>Aspsplintbock (VU)</w:t>
      </w:r>
      <w:r>
        <w:t xml:space="preserve"> är en skalbagge vars larvutveckling sker i barken på döda grenar eller klena stammar av asp. Främsta hotet är bristen på lövrika skogar med kontinuitet av gammal asp. Det är ogynnsamt att plocka bort vindfällen av asp, eller att ta ut grenar och toppar som biobränsle. Lövrika skogar med kontinuitet av gammal asp bör bevaras, och inte slutavverkas. Yngre aspbestånd bör få utvecklas fritt, och inte röjas eller gallras. Uttag av biobränsle (grenar och toppar) från asp bör undvikas. Aspsplintbock ingår i ett åtgärdsprogram för hotade arter (ÅGP) (SLU Artdatabanken, 2024; Eriksson, 2013).</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