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4610-2025 i Heby kommun</w:t>
      </w:r>
    </w:p>
    <w:p>
      <w:r>
        <w:t>Detta klagomål behandlar höga naturvärden i avverkningsanmälan A 4610-2025 i Heby kommun som inkom 2025-01-30 och omfattar 25,1 ha.</w:t>
      </w:r>
    </w:p>
    <w:p>
      <w:pPr>
        <w:pStyle w:val="Caption"/>
      </w:pPr>
      <w:r>
        <w:drawing>
          <wp:inline xmlns:a="http://schemas.openxmlformats.org/drawingml/2006/main" xmlns:pic="http://schemas.openxmlformats.org/drawingml/2006/picture">
            <wp:extent cx="5486400" cy="4777206"/>
            <wp:docPr id="1" name="Picture 1"/>
            <wp:cNvGraphicFramePr>
              <a:graphicFrameLocks noChangeAspect="1"/>
            </wp:cNvGraphicFramePr>
            <a:graphic>
              <a:graphicData uri="http://schemas.openxmlformats.org/drawingml/2006/picture">
                <pic:pic>
                  <pic:nvPicPr>
                    <pic:cNvPr id="0" name="A 4610-2025 karta.png"/>
                    <pic:cNvPicPr/>
                  </pic:nvPicPr>
                  <pic:blipFill>
                    <a:blip r:embed="rId16"/>
                    <a:stretch>
                      <a:fillRect/>
                    </a:stretch>
                  </pic:blipFill>
                  <pic:spPr>
                    <a:xfrm>
                      <a:off x="0" y="0"/>
                      <a:ext cx="5486400" cy="4777206"/>
                    </a:xfrm>
                    <a:prstGeom prst="rect"/>
                  </pic:spPr>
                </pic:pic>
              </a:graphicData>
            </a:graphic>
          </wp:inline>
        </w:drawing>
      </w:r>
    </w:p>
    <w:p>
      <w:pPr>
        <w:pStyle w:val="Caption"/>
        <w:spacing w:after="240"/>
      </w:pPr>
      <w:r>
        <w:t>Figur 1. Fyndplatser för naturvårdsarter i och inom 2 meter från avverkningsanmälan. Markörer utan svart kant är placerade på fyndplatsen. Markörer med svart kant är placerade vid sidan av fyndplatsen och har ett svart streck som visar fyndplatsens exakta position. Kartans mittpunktskoordinat är N 6672233, E 606341 i SWEREF 99 TM.</w:t>
      </w:r>
    </w:p>
    <w:p>
      <w:r>
        <w:t>I och inom 2 meter från avverkningsanmälan finns fynd av 5 naturvårdsarter, varav 1 är rödlistad, 2 är typiska (T) och 3 är signalarter (S): större flatbagge (NT), granbräken (S), gulnål (S, T), jättesvampmal (S) och rankstarr (T).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p>
      <w:r>
        <w:rPr>
          <w:b/>
        </w:rPr>
        <w:t>Större flatbagge</w:t>
      </w:r>
      <w:r>
        <w:rPr>
          <w:b/>
          <w:i/>
        </w:rPr>
        <w:t xml:space="preserve"> </w:t>
      </w:r>
      <w:r>
        <w:rPr>
          <w:b/>
        </w:rPr>
        <w:t xml:space="preserve">(NT) </w:t>
      </w:r>
      <w:r>
        <w:t>är en skalbagge vars larvutveckling sker i brunrötad ved i högstubbar eller torrträd av både barrträd och lövträd, oftast tall, gran och björk, men även asp, klibbal och gråal. Vedsvampar som skapar lämplig vedröta är klibbticka och björkticka. När skalbaggarna lämnar veden uppstår typiskt stora, ovala flyghål på vedytan, i formen ungefär som ett avrundat myntinkast. De födosöker gärna på undersidan av levande klibbtickor, varvid det uppstår ytliga gnagspår i sporlagret. Arten hotas av bekämpningsaktioner mot den åttatandade barkborren, vilken genom ståndskogsangrepp dödar träd som knappt tio år senare blir mycket lämpliga för stor flatbagge. På många ställen minskar snabbt de bestånd av gammal vårtbjörk som även är viktiga för artens överlevnad. Främst är det viktigt att gammal granskog eller lövbrännor sparas i form av nyckelbiotoper eller reservat. I den brukade skogen är det viktigt att spara stående torrgranar och vårtbjörkar samt att man ej har långa tidsmässiga specialföreskrifter för att eliminera sparande av granbarkborregranar som undanrycker successionsmöjligheter av utvecklingssubstrat för denna och många andra rödlistade arter i hela län. Större flatbagge är rödlistad som nära hotad (NT) på den europeiska rödlistan, vilket medför ett internationellt ansvar för arten (IUCN, 2025; SLU Artdatabanken, 2024).</w:t>
      </w:r>
    </w:p>
    <w:p>
      <w:r>
        <w:rPr>
          <w:b/>
        </w:rPr>
        <w:t>Gulnål</w:t>
      </w:r>
      <w:r>
        <w:t xml:space="preserve"> växer mest på murknande lövträdsved och barrträdsved och förekommer i skuggiga miljöer med hög luftfuktighet. I södra Sverige är den en relativt bra signal på biotoper med höga naturvärden och följs ofta av sällsynta arter. Gulnål är typisk art för </w:t>
      </w:r>
      <w:r>
        <w:rPr>
          <w:i/>
        </w:rPr>
        <w:t>9110 Näringsfattig bokskog</w:t>
      </w:r>
      <w:r>
        <w:t xml:space="preserve"> och</w:t>
      </w:r>
      <w:r>
        <w:rPr>
          <w:i/>
        </w:rPr>
        <w:t xml:space="preserve"> 9130 Näringsrik bokskog </w:t>
      </w:r>
      <w:r>
        <w:t>(Nitare &amp; Skogsstyrelsen, 2019; SLU Artdatabanken, 2025).</w:t>
      </w:r>
    </w:p>
    <w:p>
      <w:r>
        <w:rPr>
          <w:b/>
        </w:rPr>
        <w:t>Jättesvampmal</w:t>
      </w:r>
      <w:r>
        <w:t xml:space="preserve"> är en fjäril som flyger i juli i mer eller mindre orörd gammal löv- eller blandskog, särskilt sådan med björk och bok. Larven lever i fnöskticka m.fl. tickor och kläckhålen och resterna av larvgångar i äldre fruktkroppar är lätta att känna igen och inventera. Arten hotas av avverkning av gamla, svampangripna lövträd samt bortforsling av döda lövträd, vindfällen och lågor. Gamla lövträd och naturbestånd med lövskog - särskilt björk och bok - bör sparas så långt möjligt och död ved lämnas kvar i skogen (SLU Artdatabanken, 2025).</w:t>
      </w:r>
    </w:p>
    <w:p>
      <w:r>
        <w:rPr>
          <w:b/>
        </w:rPr>
        <w:t xml:space="preserve">Rankstarr </w:t>
      </w:r>
      <w:r>
        <w:t xml:space="preserve">är typisk art för </w:t>
      </w:r>
      <w:r>
        <w:rPr>
          <w:i/>
        </w:rPr>
        <w:t xml:space="preserve">9080 Lövsumpskog </w:t>
      </w:r>
      <w:r>
        <w:t>(SLU Artdatabanken, 2025).</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5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2026-10-11</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