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31018-2023 i Heby kommun</w:t>
      </w:r>
    </w:p>
    <w:p>
      <w:r>
        <w:t>Denna tillsynsbegäran behandlar höga naturvärden i avverkningsanmälan A 31018-2023 i Heby kommun som inkom 2023-07-06 och omfattar 11,0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31018-2023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6661031, E 614375 i SWEREF 99 TM.</w:t>
      </w:r>
    </w:p>
    <w:p>
      <w:r>
        <w:t>I och inom 25 meter från avverkningsanmälan finns fynd av 13 naturvårdsarter, varav 2 är rödlistade, 5 är fridlysta, 9 är typiska (T) och 2 är signalarter (S): knärot (VU, T, §8), talltita (NT, §4), grönpyrola (S, T), rödgul trumpetsvamp (S), ekbräken (T), humleblomster (T), kärrviol (T), liljekonvalj (T), majbräken (T), mattlummer (T, §9), vitsippa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74 fyndplatser för knärot registrerade på Artportalen. Figur 2 visar gränserna för buffertzoner på 50 m, som behöver lämnas kring fyndplatserna för att knärotslokalerna inte ska försvinna vid en avverkning. Av det avverkningsanmälda området överlappar 10.09 ha med buffertzonerna och får av detta skäl inte avverkas.</w:t>
      </w:r>
    </w:p>
    <w:p>
      <w:pPr>
        <w:pStyle w:val="Caption"/>
      </w:pPr>
      <w:r>
        <w:drawing>
          <wp:inline xmlns:a="http://schemas.openxmlformats.org/drawingml/2006/main" xmlns:pic="http://schemas.openxmlformats.org/drawingml/2006/picture">
            <wp:extent cx="5486400" cy="4596510"/>
            <wp:docPr id="2" name="Picture 2"/>
            <wp:cNvGraphicFramePr>
              <a:graphicFrameLocks noChangeAspect="1"/>
            </wp:cNvGraphicFramePr>
            <a:graphic>
              <a:graphicData uri="http://schemas.openxmlformats.org/drawingml/2006/picture">
                <pic:pic>
                  <pic:nvPicPr>
                    <pic:cNvPr id="0" name="A 31018-2023 karta knärot.png"/>
                    <pic:cNvPicPr/>
                  </pic:nvPicPr>
                  <pic:blipFill>
                    <a:blip r:embed="rId17"/>
                    <a:stretch>
                      <a:fillRect/>
                    </a:stretch>
                  </pic:blipFill>
                  <pic:spPr>
                    <a:xfrm>
                      <a:off x="0" y="0"/>
                      <a:ext cx="5486400" cy="45965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6661031, E 614375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Ekbräken </w:t>
      </w:r>
      <w:r>
        <w:t xml:space="preserve">är typisk art för </w:t>
      </w:r>
      <w:r>
        <w:rPr>
          <w:i/>
        </w:rPr>
        <w:t>9050 Näringsrik granskog</w:t>
      </w:r>
      <w:r>
        <w:t xml:space="preserve"> (SLU Artdatabanken, 2025).</w:t>
      </w:r>
    </w:p>
    <w:p>
      <w:r>
        <w:rPr>
          <w:b/>
        </w:rPr>
        <w:t>Humleblomster</w:t>
      </w:r>
      <w:r>
        <w:t xml:space="preserve"> är typisk art för </w:t>
      </w:r>
      <w:r>
        <w:rPr>
          <w:i/>
        </w:rPr>
        <w:t xml:space="preserve">9040 Fjällbjörkskog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Mattlummer (§9)</w:t>
      </w:r>
      <w:r>
        <w:t xml:space="preserve"> är typisk art för </w:t>
      </w:r>
      <w:r>
        <w:rPr>
          <w:i/>
        </w:rPr>
        <w:t xml:space="preserve">9010 Taiga </w:t>
      </w:r>
      <w:r>
        <w:t>(SLU Artdatabanken, 2025).</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grönpyrola (S, T), ekbräken (T), humleblomster (T), kärrviol (T), liljekonvalj (T), majbräken (T), mattlummer (T, §9)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