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63982-2023 i Heby kommun</w:t>
      </w:r>
    </w:p>
    <w:p>
      <w:r>
        <w:t>Detta klagomål behandlar höga naturvärden i avverkningsanmälan A 63982-2023 i Heby kommun som inkom 2023-12-18 och omfattar 1,6 ha.</w:t>
      </w:r>
    </w:p>
    <w:p>
      <w:pPr>
        <w:pStyle w:val="Caption"/>
      </w:pPr>
      <w:r>
        <w:drawing>
          <wp:inline xmlns:a="http://schemas.openxmlformats.org/drawingml/2006/main" xmlns:pic="http://schemas.openxmlformats.org/drawingml/2006/picture">
            <wp:extent cx="5486400" cy="3914009"/>
            <wp:docPr id="1" name="Picture 1"/>
            <wp:cNvGraphicFramePr>
              <a:graphicFrameLocks noChangeAspect="1"/>
            </wp:cNvGraphicFramePr>
            <a:graphic>
              <a:graphicData uri="http://schemas.openxmlformats.org/drawingml/2006/picture">
                <pic:pic>
                  <pic:nvPicPr>
                    <pic:cNvPr id="0" name="A 63982-2023 karta.png"/>
                    <pic:cNvPicPr/>
                  </pic:nvPicPr>
                  <pic:blipFill>
                    <a:blip r:embed="rId16"/>
                    <a:stretch>
                      <a:fillRect/>
                    </a:stretch>
                  </pic:blipFill>
                  <pic:spPr>
                    <a:xfrm>
                      <a:off x="0" y="0"/>
                      <a:ext cx="5486400" cy="3914009"/>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6644574, E 601689 i SWEREF 99 TM.</w:t>
      </w:r>
    </w:p>
    <w:p>
      <w:r>
        <w:t>I och inom 19 meter från avverkningsanmälan finns fynd av 2 naturvårdsarter, varav 1 är rödlistad, 1 är fridlyst och 1 är typisk (T): större flatbagge (NT)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Större flatbagge</w:t>
      </w:r>
      <w:r>
        <w:rPr>
          <w:b/>
          <w:i/>
        </w:rPr>
        <w:t xml:space="preserve"> </w:t>
      </w:r>
      <w:r>
        <w:rPr>
          <w:b/>
        </w:rPr>
        <w:t xml:space="preserve">(NT) </w:t>
      </w:r>
      <w:r>
        <w:t>är en skalbagge vars larvutveckling sker i brunrötad ved i högstubbar eller torrträd av både barrträd och lövträd, oftast tall, gran och björk, men även asp, klibbal och gråal. Vedsvampar som skapar lämplig vedröta är klibbticka och björkticka. När skalbaggarna lämnar veden uppstår typiskt stora, ovala flyghål på vedytan, i formen ungefär som ett avrundat myntinkast. De födosöker gärna på undersidan av levande klibbtickor, varvid det uppstår ytliga gnagspår i sporlagret. Arten hotas av bekämpningsaktioner mot den åttatandade barkborren, vilken genom ståndskogsangrepp dödar träd som knappt tio år senare blir mycket lämpliga för stor flatbagge. På många ställen minskar snabbt de bestånd av gammal vårtbjörk som även är viktiga för artens överlevnad. Främst är det viktigt att gammal granskog eller lövbrännor sparas i form av nyckelbiotoper eller reservat. I den brukade skogen är det viktigt att spara stående torrgranar och vårtbjörkar samt att man ej har långa tidsmässiga specialföreskrifter för att eliminera sparande av granbarkborregranar som undanrycker successionsmöjligheter av utvecklingssubstrat för denna och många andra rödlistade arter i hela län. Större flatbagge är rödlistad som nära hotad (NT) på den europeiska rödlistan, vilket medför ett internationellt ansvar för arten (IUCN, 2025;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