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1542-2024 i Heby kommun</w:t>
      </w:r>
    </w:p>
    <w:p>
      <w:r>
        <w:t>Denna tillsynsbegäran behandlar höga naturvärden i samrådsanmälan S 1542-2024 i Heby kommun som inkom 2024-05-13 och omfattar 11,4 ha.</w:t>
      </w:r>
    </w:p>
    <w:p>
      <w:pPr>
        <w:pStyle w:val="Caption"/>
      </w:pPr>
      <w:r>
        <w:drawing>
          <wp:inline xmlns:a="http://schemas.openxmlformats.org/drawingml/2006/main" xmlns:pic="http://schemas.openxmlformats.org/drawingml/2006/picture">
            <wp:extent cx="5093835" cy="5724000"/>
            <wp:docPr id="1" name="Picture 1"/>
            <wp:cNvGraphicFramePr>
              <a:graphicFrameLocks noChangeAspect="1"/>
            </wp:cNvGraphicFramePr>
            <a:graphic>
              <a:graphicData uri="http://schemas.openxmlformats.org/drawingml/2006/picture">
                <pic:pic>
                  <pic:nvPicPr>
                    <pic:cNvPr id="0" name="S 1542-2024 karta.png"/>
                    <pic:cNvPicPr/>
                  </pic:nvPicPr>
                  <pic:blipFill>
                    <a:blip r:embed="rId16"/>
                    <a:stretch>
                      <a:fillRect/>
                    </a:stretch>
                  </pic:blipFill>
                  <pic:spPr>
                    <a:xfrm>
                      <a:off x="0" y="0"/>
                      <a:ext cx="5093835"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6682191, E 623115 i SWEREF 99 TM.</w:t>
      </w:r>
    </w:p>
    <w:p>
      <w:r>
        <w:t>I och inom 21 meter från samrådsanmälan finns fynd av 21 naturvårdsarter, varav 7 är rödlistade, 12 är fridlysta, 10 är typiska (T) och 5 är signalarter (S): violgubbe (EN), knärot (VU, T, §8), kattfotslav (NT, T), skarp dropptaggsvamp (NT), sparvuggla (NT, §4), talltita (NT, §4), vedtrappmossa (NT, T), flagellkvastmossa (S, T), grönpyrola (S, T), kornknutmossa (S, T), rödgul trumpetsvamp (S), zontaggsvamp (S), gråspett (T, §4), järpe (T, §4), spillkråka (T, §4), tjäder (T, §4), grönsiska (§4), kungsfågel (§4), orre (§4), sångsvan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31 fyndplatser för knärot registrerade på Artportalen. Figur 2 visar gränserna för buffertzoner på 50 m, som behöver lämnas kring fyndplatserna för att knärotslokalerna inte ska försvinna vid en avverkning. Av det samrådsanmälda området överlappar 7.22 ha med buffertzonerna och får av detta skäl inte avverkas.</w:t>
      </w:r>
    </w:p>
    <w:p>
      <w:pPr>
        <w:pStyle w:val="Caption"/>
      </w:pPr>
      <w:r>
        <w:drawing>
          <wp:inline xmlns:a="http://schemas.openxmlformats.org/drawingml/2006/main" xmlns:pic="http://schemas.openxmlformats.org/drawingml/2006/picture">
            <wp:extent cx="5486400" cy="5810682"/>
            <wp:docPr id="2" name="Picture 2"/>
            <wp:cNvGraphicFramePr>
              <a:graphicFrameLocks noChangeAspect="1"/>
            </wp:cNvGraphicFramePr>
            <a:graphic>
              <a:graphicData uri="http://schemas.openxmlformats.org/drawingml/2006/picture">
                <pic:pic>
                  <pic:nvPicPr>
                    <pic:cNvPr id="0" name="S 1542-2024 karta knärot.png"/>
                    <pic:cNvPicPr/>
                  </pic:nvPicPr>
                  <pic:blipFill>
                    <a:blip r:embed="rId17"/>
                    <a:stretch>
                      <a:fillRect/>
                    </a:stretch>
                  </pic:blipFill>
                  <pic:spPr>
                    <a:xfrm>
                      <a:off x="0" y="0"/>
                      <a:ext cx="5486400" cy="58106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6682191, E 623115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kattfotslav (NT, T), vedtrappmossa (NT, T), flagellkvastmossa (S, T), grönpyrola (S, T), kornknutmossa (S, T), gråspett (T, §4),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