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41219-2025 i Heby kommun</w:t>
      </w:r>
    </w:p>
    <w:p>
      <w:r>
        <w:t>Detta klagomål behandlar höga naturvärden i avverkningsanmälan A 41219-2025 i Heby kommun som inkom 2025-08-29 och omfattar 22,2 ha.</w:t>
      </w:r>
    </w:p>
    <w:p>
      <w:pPr>
        <w:pStyle w:val="Caption"/>
      </w:pPr>
      <w:r>
        <w:drawing>
          <wp:inline xmlns:a="http://schemas.openxmlformats.org/drawingml/2006/main" xmlns:pic="http://schemas.openxmlformats.org/drawingml/2006/picture">
            <wp:extent cx="5486400" cy="3717932"/>
            <wp:docPr id="1" name="Picture 1"/>
            <wp:cNvGraphicFramePr>
              <a:graphicFrameLocks noChangeAspect="1"/>
            </wp:cNvGraphicFramePr>
            <a:graphic>
              <a:graphicData uri="http://schemas.openxmlformats.org/drawingml/2006/picture">
                <pic:pic>
                  <pic:nvPicPr>
                    <pic:cNvPr id="0" name="A 41219-2025 karta.png"/>
                    <pic:cNvPicPr/>
                  </pic:nvPicPr>
                  <pic:blipFill>
                    <a:blip r:embed="rId16"/>
                    <a:stretch>
                      <a:fillRect/>
                    </a:stretch>
                  </pic:blipFill>
                  <pic:spPr>
                    <a:xfrm>
                      <a:off x="0" y="0"/>
                      <a:ext cx="5486400" cy="3717932"/>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och har ett svart streck som visar fyndplatsens exakta position. Kartans mittpunktskoordinat är N 6666780, E 603695 i SWEREF 99 TM.</w:t>
      </w:r>
    </w:p>
    <w:p>
      <w:r>
        <w:t>Inom 21 meter från avverkningsanmälan finns fynd av 2 naturvårdsarter, varav 2 är rödlistade och 1 är typisk (T): lammticka (VU) och motaggsvamp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Lammticka (VU)</w:t>
      </w:r>
      <w:r>
        <w:t xml:space="preserve"> bildar mykorrhiza med tall och växer i tämligen öppna barrskogar ofta magra tallhedar, gärna på sandig mark.</w:t>
      </w:r>
      <w:r>
        <w:rPr>
          <w:b/>
        </w:rPr>
        <w:t xml:space="preserve"> </w:t>
      </w:r>
      <w:r>
        <w:t>Arten är placerad högst upp i Skogsstyrelsens värdepyramid för bedömning av skog med höga naturvärden och tål inte slutavverkning (SLU Artdatabanken, 2024; Nitare &amp; Skogsstyrelsen, 2019).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2026-08-17</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