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54215-2025 i Tierps kommun</w:t>
      </w:r>
    </w:p>
    <w:p>
      <w:r>
        <w:t>Detta dokument behandlar höga naturvärden i avverkningsanmälan A 54215-2025 i Tierps kommun. Denna avverkningsanmälan inkom 2025-11-03 14:16:14 och omfattar 6,3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15 naturvårdsarter hittats: knärot (VU, §8), dofttaggsvamp (NT), spillkråka (NT, §4), talltita (NT, §4), vedtrappmossa (NT), granbarkgnagare (S), grön sköldmossa (S, §8), kattfotslav (S), skogsknipprot (S, §8), svavelriska (S), tibast (S), vårärt (S), zontaggsvamp (S), blåsippa (§9) och lopplummer (aggregat) (§9). Av dessa är 5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770280"/>
            <wp:docPr id="1" name="Picture 1"/>
            <wp:cNvGraphicFramePr>
              <a:graphicFrameLocks noChangeAspect="1"/>
            </wp:cNvGraphicFramePr>
            <a:graphic>
              <a:graphicData uri="http://schemas.openxmlformats.org/drawingml/2006/picture">
                <pic:pic>
                  <pic:nvPicPr>
                    <pic:cNvPr id="0" name="A 54215-2025 karta.png"/>
                    <pic:cNvPicPr/>
                  </pic:nvPicPr>
                  <pic:blipFill>
                    <a:blip r:embed="rId16"/>
                    <a:stretch>
                      <a:fillRect/>
                    </a:stretch>
                  </pic:blipFill>
                  <pic:spPr>
                    <a:xfrm>
                      <a:off x="0" y="0"/>
                      <a:ext cx="5486400" cy="377028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6700431, E 667649 i SWEREF 99 TM.</w:t>
      </w:r>
    </w:p>
    <w:p>
      <w:r>
        <w:rPr>
          <w:b/>
        </w:rPr>
        <w:t xml:space="preserve">Dofttaggsvamp (NT) </w:t>
      </w:r>
      <w:r>
        <w:t xml:space="preserve">bildar mykorrhiza med gran i framför allt äldre ängsgranskog eller örtrik granskog av frisk lågörttyp. Arten hotas huvudsakligen av slutavverkning och den överlever sannolikt inte en avverkning eftersom den är beroende de levande barrträdens rötter. Troligen missgynnas den av allt för hård gallring eller plockhuggning om huggningen inte efterföljs av skogsbete. Fler örtrika barrskogar, särskilt de med trädkontinuitet, måste skyddas i större utsträckning än vad som tidigare gjorts. Dofttaggsvamp är typisk art för </w:t>
      </w:r>
      <w:r>
        <w:rPr>
          <w:i/>
        </w:rPr>
        <w:t>9050 Näringsrik granskog</w:t>
      </w:r>
      <w:r>
        <w:t xml:space="preserve"> (SLU Artdatabanken, 2024).</w:t>
      </w:r>
    </w:p>
    <w:p>
      <w:r>
        <w:rPr>
          <w:b/>
        </w:rPr>
        <w:t xml:space="preserve">Granbarkgnagare </w:t>
      </w:r>
      <w:r>
        <w:t xml:space="preserve">är en skalbagge vars larvutveckling sker i den tjocka ytterbarken på gamla och mycket grova levande granar. Man lägger lätt märke till angreppen på träden eftersom flera grova kläckhål ligger ganska tätt intill varandra på de grövre barkåsarna. Kläckhålen är runda och ca 1,5 mm breda. Granbarkgnagare är typisk art för </w:t>
      </w:r>
      <w:r>
        <w:rPr>
          <w:i/>
        </w:rPr>
        <w:t xml:space="preserve">9010 Taiga </w:t>
      </w:r>
      <w:r>
        <w:t>(Ehnström, 2002; SLU Artdatabanken, 2025).</w:t>
      </w:r>
    </w:p>
    <w:p>
      <w:r>
        <w:rPr>
          <w:b/>
        </w:rPr>
        <w:t xml:space="preserve">Kattfotslav (NT) </w:t>
      </w:r>
      <w:r>
        <w:t xml:space="preserve">är en mycket god signalart i hela sitt svenska utbredningsområde och skogsbestånd med kattfotslav är alltid värdefulla ur naturvårdssynpunkt. Arten indikerar dels ett mikroklimat med konstant hög luftfuktighet, dels kontinuitet av äldre träd och god trädslutenhet. Trots att den är vanligare i sydvästra Sverige växer den enbart i skogsbestånd med höga naturvärden. Den är känslig för skogliga ingrepp som kan förändra lokal- och mikroklimat. Kattfotslav är typisk art för </w:t>
      </w:r>
      <w:r>
        <w:rPr>
          <w:i/>
        </w:rPr>
        <w:t xml:space="preserve">9010 Taiga, 9160 Näringsrik ekskog </w:t>
      </w:r>
      <w:r>
        <w:t>och</w:t>
      </w:r>
      <w:r>
        <w:rPr>
          <w:i/>
        </w:rPr>
        <w:t xml:space="preserve"> 9190 Näringsfattig ekskog</w:t>
      </w:r>
      <w:r>
        <w:t xml:space="preserve"> (Nitare &amp; Skogsstyrelsen, 2019; SLU Artdatabanken, 2026).</w:t>
      </w:r>
    </w:p>
    <w:p>
      <w:r>
        <w:rPr>
          <w:b/>
        </w:rPr>
        <w:t>Tibast</w:t>
      </w:r>
      <w:r>
        <w:t xml:space="preserve"> är en kalkgynnad buske som växer på mullrik, frisk eller svagt fuktig mark, exempelvis i gamla kalkgranskogar, lövträdslundar, varma källpåverkade sluttningar och exklusiva biotoper kopplade till vattendrag. Förekomster i gammal skog visar på höga naturvärden och bör alltid noteras i samband med naturvärdesinventeringar. Tibast är typisk art för </w:t>
      </w:r>
      <w:r>
        <w:rPr>
          <w:i/>
        </w:rPr>
        <w:t>9050 Näringsrik granskog</w:t>
      </w:r>
      <w:r>
        <w:t xml:space="preserve"> och värdväxt för de två fjärilsarterna större tibastmal och brun tibastmal (CR) (SLU Artdatabanken, 2024; Nitare &amp; Skogsstyrelsen, 2019).</w:t>
      </w:r>
    </w:p>
    <w:p>
      <w:r>
        <w:rPr>
          <w:b/>
        </w:rPr>
        <w:t xml:space="preserve">Vedtrappmossa (NT) </w:t>
      </w:r>
      <w:r>
        <w:t xml:space="preserve">växer på död ved, främst i gammal granskog. Den förekommer knappast alls i fjällnära barrskogar utan finns i skogslandskapet nedom fjällen och framför allt i landets södra delar är den en mycket bra signalart för barrnaturskog med höga naturvärden. Skogsavverkning och brist på grov död ved i skogen är de allvarligaste hoten och den överlever inte kalhyggesbruk. Lokaler med sluten granskog, tillräckligt stora för att säkerställa ett kontinuerligt tillskott på grova lågor, bör undantas från storskaligt skogsbruk. Vedtrappmossa är typisk art för </w:t>
      </w:r>
      <w:r>
        <w:rPr>
          <w:i/>
        </w:rPr>
        <w:t>9010 Taiga</w:t>
      </w:r>
      <w:r>
        <w:t xml:space="preserve"> (SLU Artdatabanken, 2024).</w:t>
      </w:r>
    </w:p>
    <w:p>
      <w:r>
        <w:rPr>
          <w:b/>
        </w:rPr>
        <w:t>Vårärt (NT)</w:t>
      </w:r>
      <w:r>
        <w:t xml:space="preserve"> är en kalkgynnad mullväxt som är knuten till rik lundartad vegetation och har sin huvudsakliga förekomst i sydliga kalklövskogar, lövängen och hässlen. Den har även viktiga förekomster av reliktkaraktär i örtrika kalkgranskogar på frisk eller något fuktig mark i mellersta Sverige. Vårärt är en extra betydelsefull signalart i boreala och boreonemorala kalkgranskogar, då dessa förekomster nu är starkt fragmenterade och troligen visar på en flertusenårig ekologisk kontinuitet där spridning och etablering kan ha skett under postglaciala värmetiden. Arten tål inte dagens storskaliga skogsbruksmetoder och den kommer in på rödlistan för första gången 2025 till följd av en kraftig minskning (&gt;50%) i Riksskogstaxeringens data. Vårärt är typisk art för </w:t>
      </w:r>
      <w:r>
        <w:rPr>
          <w:i/>
        </w:rPr>
        <w:t xml:space="preserve">9050 Näringsrik granskog, 9020 Nordlig ädellövskog, 9160 Näringsrik ekskog </w:t>
      </w:r>
      <w:r>
        <w:t xml:space="preserve">och </w:t>
      </w:r>
      <w:r>
        <w:rPr>
          <w:i/>
        </w:rPr>
        <w:t>9180 Ädellövskog i branter</w:t>
      </w:r>
      <w:r>
        <w:t xml:space="preserve"> (Nitare &amp; Skogsstyrelsen, 2019; SLU Artdatabanken, 2026).</w:t>
      </w:r>
    </w:p>
    <w:p>
      <w:pPr>
        <w:pStyle w:val="Heading1"/>
      </w:pPr>
      <w:r>
        <w:t>Fridlysta arter</w:t>
      </w:r>
    </w:p>
    <w:p>
      <w:r>
        <w:t>Följande fridlysta arter har sina livsmiljöer och växtplatser i den avverkningsanmälda skogen: knärot (VU, §8), spillkråka (NT, §4), talltita (NT, §4), grön sköldmossa (S, §8), skogsknipprot (S, §8), blåsippa (§9) och lopplummer (aggregat)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p>
      <w:r>
        <w:rPr>
          <w:b/>
        </w:rPr>
        <w:t>Grön sköldmossa (§8)</w:t>
      </w:r>
      <w:r>
        <w:t xml:space="preserve"> är typisk art för </w:t>
      </w:r>
      <w:r>
        <w:rPr>
          <w:i/>
        </w:rPr>
        <w:t xml:space="preserve">9010 Taiga </w:t>
      </w:r>
      <w:r>
        <w:t>och</w:t>
      </w:r>
      <w:r>
        <w:rPr>
          <w:i/>
        </w:rPr>
        <w:t xml:space="preserve"> 9750 Svämlövskog</w:t>
      </w:r>
      <w:r>
        <w:t xml:space="preserve"> och omfattas av EU:s art- och habitatdirektiv bilaga 2 vilket innebär att det finns ett uttalat intresse inom Europeiska unionen att bevara arten. Grön sköldmossa kräver skog som har ett speciellt mikroklimat med hög och jämn luftfuktighet i kombination med rik tillgång på död ved (Nitare &amp; Skogsstyrelsen, 2019; SLU Artdatabanken, 2025). I praktiken handlar det om åtminstone 50 meter med skyddande skog för att undvika uttorkning av marken (Hallingbäck, personligt meddelande 2022-02-24). Grön sköldmossa är en ansvarsart för Sverige då en särskilt stor andel av Europas population finns i landet. Mark- och miljööverdomstolen (MÖD) har i mål nr M 2019-20 (18 februari 2019) slagit fast att grön sköldmossa (§8) är dispenspliktig och att exemplar av arten inte får skadas utan dispens (MÖD, mål nr M 2019-20).</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3 fyndplatser för knärot registrerade på Artportalen. Figur 2 visar gränserna för buffertzoner på 50 m, som behöver lämnas kring fyndplatserna för att knärotslokalerna inte ska försvinna vid en avverkning. Av det avverkningsanmälda området överlappar 1.21 ha med buffertzonerna och får av detta skäl inte avverkas.</w:t>
      </w:r>
    </w:p>
    <w:p>
      <w:pPr>
        <w:pStyle w:val="Caption"/>
      </w:pPr>
      <w:r>
        <w:drawing>
          <wp:inline xmlns:a="http://schemas.openxmlformats.org/drawingml/2006/main" xmlns:pic="http://schemas.openxmlformats.org/drawingml/2006/picture">
            <wp:extent cx="5486400" cy="4505379"/>
            <wp:docPr id="2" name="Picture 2"/>
            <wp:cNvGraphicFramePr>
              <a:graphicFrameLocks noChangeAspect="1"/>
            </wp:cNvGraphicFramePr>
            <a:graphic>
              <a:graphicData uri="http://schemas.openxmlformats.org/drawingml/2006/picture">
                <pic:pic>
                  <pic:nvPicPr>
                    <pic:cNvPr id="0" name="A 54215-2025 karta knärot.png"/>
                    <pic:cNvPicPr/>
                  </pic:nvPicPr>
                  <pic:blipFill>
                    <a:blip r:embed="rId17"/>
                    <a:stretch>
                      <a:fillRect/>
                    </a:stretch>
                  </pic:blipFill>
                  <pic:spPr>
                    <a:xfrm>
                      <a:off x="0" y="0"/>
                      <a:ext cx="5486400" cy="4505379"/>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6700431, E 667649 i SWEREF 99 TM.</w:t>
      </w:r>
    </w:p>
    <w:p>
      <w:pPr>
        <w:pStyle w:val="Caption"/>
      </w:pPr>
    </w:p>
    <w:p>
      <w:r>
        <w:rPr>
          <w:b/>
        </w:rPr>
        <w:t>Skogsknipprot (§8)</w:t>
      </w:r>
      <w:r>
        <w:t xml:space="preserve"> är fridlyst enligt 8§ artskyddsförordningen och typisk art för </w:t>
      </w:r>
      <w:r>
        <w:rPr>
          <w:i/>
        </w:rPr>
        <w:t>9050 Näringsrik granskog</w:t>
      </w:r>
      <w:r>
        <w:t xml:space="preserve"> (SLU Artdatabanken, 2025).</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r>
        <w:br w:type="page"/>
      </w:r>
    </w:p>
    <w:p>
      <w:pPr>
        <w:pStyle w:val="Title"/>
      </w:pPr>
      <w:r>
        <w:t>BILAGA 1 – Fridlysta arter</w:t>
      </w:r>
    </w:p>
    <w:p>
      <w:pPr>
        <w:pStyle w:val="Heading1"/>
      </w:pPr>
      <w:r>
        <w:t>Grön sköldmossa – ekologi samt krav på livsmiljön</w:t>
      </w:r>
    </w:p>
    <w:p>
      <w:r>
        <w:t>Grön sköldmossa (§8) växer på stubbar och lågor av olika trädslag, huvudsakligen i sena nedbrytningsstadier. Den förekommer främst i näringsrika granskogar med stort inslag av löv, arten är kortlivad och antalet kapslar varierar kraftigt mellan olika år. Grön sköldmossa kräver skog som har ett speciellt mikroklimat med hög och jämn luftfuktighet i kombination med rik tillgång på död ved (SLU Artdatabanken, 2021; Nitare &amp; Skogsstyrelsen, 2019).</w:t>
      </w:r>
    </w:p>
    <w:p>
      <w:r>
        <w:t>Arten har sin huvudutbredning i sydöstra Sverige. Allvarligaste hoten är skogsavverkning och brist på död ved. Brist på naturligt döda träd i dagens produktionsskogar gör att arten blir allt sällsyntare (Hallingbäck, 2016). Död ved i större mängd bör lämnas och träd tillåtas åldras och dö för att skapa kontinuerlig tillgång på livsmiljöer. Träd och livsmiljö bör skyddas genom att lämna trädgrupper, ytor eller zoner (SLU Artdatabanken, 2021). I praktiken handlar det om åtminstone 50 meter med skyddande skog för att undvika uttorkning av marken (Hallingbäck, personligt meddelande 2022-02-24).</w:t>
      </w:r>
    </w:p>
    <w:p>
      <w:r>
        <w:t xml:space="preserve">Grön sköldmossa är typisk art för </w:t>
      </w:r>
      <w:r>
        <w:rPr>
          <w:i/>
        </w:rPr>
        <w:t xml:space="preserve">9010 Taiga </w:t>
      </w:r>
      <w:r>
        <w:t>och</w:t>
      </w:r>
      <w:r>
        <w:rPr>
          <w:i/>
        </w:rPr>
        <w:t xml:space="preserve"> 9750 Svämlövskog</w:t>
      </w:r>
      <w:r>
        <w:t>, fridlyst enligt 8§ artskyddsförordningen och upptagen i EU:s Habitatdirektiv bilaga 2 vilket innebär att det finns ett uttalat intresse inom Europeiska unionen att bevara arten. Grön sköldmossa är en ansvarsart för Sverige då en särskilt stor andel av Europas population finns i landet. Förutom i östra Sverige har arten inga större sammanhängande utbredningar med gynnsam bevarandestatus söderut i Europa förrän i Montenegro. Det finns enbart liten förekomst med gynnsam regional bevarandestatus i södra Frankrike och södra Polen. Fridlysningen enligt §§ 8 och 15 Artskyddsförordningen innebär att det är förbjudet att på något sätt skada exemplar av arten, se artskyddsförordningen (2007:845):</w:t>
      </w:r>
    </w:p>
    <w:p>
      <w:pPr>
        <w:pStyle w:val="ListBullet"/>
      </w:pPr>
      <w:r>
        <w:t>8 § I fråga om sådana vilt levande kärlväxter, mossor, lavar, svampar och alger som anges i bilaga 2 till denna förordning är det förbjudet att i den omfattning som framgår av bilagan 1. plocka, gräva upp eller på annat sätt ta bort eller skada exemplar av växterna, och 2. ta bort eller skada frön eller andra delar.</w:t>
      </w:r>
    </w:p>
    <w:p>
      <w:pPr>
        <w:pStyle w:val="ListBullet"/>
      </w:pPr>
      <w:r>
        <w:t>15 § Länsstyrelsen får i det enskilda fallet ge dispens från förbuden i 6, 8 och 9 §§ som avser länet eller del av länet, om det inte finns någon annan lämplig lösning och dispensen inte försvårar upprätthållandet av en gynnsam bevarandestatus hos artens bestånd i dess naturliga utbredningsområde.</w:t>
      </w:r>
    </w:p>
    <w:p>
      <w:r>
        <w:t>Grön sköldmossa är även listad som B i Artskyddsförordningen vilket innebär att den är en art av unionsintresse:</w:t>
      </w:r>
    </w:p>
    <w:p>
      <w:pPr>
        <w:pStyle w:val="ListBullet"/>
      </w:pPr>
      <w:r>
        <w:t>B: Arten har enligt fågeldirektivet eller art- och habitatdirektivet ett sådant unionsintresse att särskilda skyddsområden (fågeldirektivet) eller bevarandeområden (art- och habitatdirektivet) behöver utses. Arten finns upptagen i bilaga 2 till art- och habitatdirektivet.</w:t>
      </w:r>
    </w:p>
    <w:p>
      <w:r>
        <w:t>Mark- och miljööverdomstolen (MÖD) har i mål nr M 2019-20 (18 februari 2019) slagit fast att grön sköldmossa (§8) är dispenspliktig och att exemplar av arten inte får skadas utan dispens (MÖD, mål nr M 2019-20).</w:t>
      </w:r>
    </w:p>
    <w:p>
      <w:r>
        <w:t>Hallingbäck, personligt meddelande 2022-02-24</w:t>
      </w:r>
    </w:p>
    <w:p>
      <w:pPr>
        <w:jc w:val="left"/>
      </w:pPr>
      <w:r>
        <w:t>Från: Tomas Hallingbäck &lt;Tomas.Hallingback@slu.se&gt;</w:t>
        <w:br/>
        <w:t>Date: tors 24 feb. 2022 kl 17:49</w:t>
        <w:br/>
        <w:t>Subject: Re: Grön sköldmossa</w:t>
        <w:br/>
        <w:t>To: Magnus Kasselstrand &lt;magnus.kasselstrand@gmail.com&gt;</w:t>
      </w:r>
    </w:p>
    <w:p>
      <w:r>
        <w:t>Hej Magnus,</w:t>
      </w:r>
    </w:p>
    <w:p>
      <w:r>
        <w:t>Tyvärr finns inga studier på just detta, men uttorkning av underlaget är en starkt negativ faktor för grön sköldmossa, och jag brukar hänvisa till lokalklimatiska studier som visar att skyddskappan för att förhindra uttorkning av marken ligger på minst tre trädlängder skog (för plan mark), kortare för kuperad terräng, och detta blir i praktiken åtminstone 50 meter.</w:t>
      </w:r>
    </w:p>
    <w:p>
      <w:r>
        <w:t>MVH</w:t>
        <w:br/>
        <w:t>Tomas Hallingbäck</w:t>
      </w:r>
    </w:p>
    <w:p>
      <w:pPr>
        <w:pStyle w:val="Heading2"/>
      </w:pPr>
      <w:r>
        <w:t>Referenser – grön sköldmossa</w:t>
      </w:r>
    </w:p>
    <w:p>
      <w:r>
        <w:t xml:space="preserve">Hallingbäck T., 2016. </w:t>
      </w:r>
      <w:r>
        <w:rPr>
          <w:i/>
        </w:rPr>
        <w:t xml:space="preserve">Mossor en fältguide. </w:t>
      </w:r>
      <w:r>
        <w:t>Naturcentrum.</w:t>
      </w:r>
    </w:p>
    <w:p>
      <w:r>
        <w:t xml:space="preserve">Hallingbäck T., 2022. </w:t>
      </w:r>
      <w:r>
        <w:rPr>
          <w:i/>
        </w:rPr>
        <w:t xml:space="preserve">Personligt meddelande 2022-02-24. </w:t>
      </w:r>
      <w:r>
        <w:t>SLU Artdatabanken.</w:t>
      </w:r>
    </w:p>
    <w:p>
      <w:r>
        <w:t xml:space="preserve">Mark- och miljööverdomstolen. </w:t>
      </w:r>
      <w:r>
        <w:rPr>
          <w:i/>
        </w:rPr>
        <w:t xml:space="preserve">Dom 18 februari 2019 i mål nr M 2019-20 </w:t>
      </w:r>
      <w:r>
        <w:t>(MÖD, mål nr M 2019-20)</w:t>
      </w:r>
    </w:p>
    <w:p>
      <w:r>
        <w:t xml:space="preserve">Nitare, J., 2019. </w:t>
      </w:r>
      <w:r>
        <w:rPr>
          <w:i/>
        </w:rPr>
        <w:t xml:space="preserve">Skyddsvärd skog – Naturvårdsarter och andra kriterier för naturvärdesbedömning. </w:t>
      </w:r>
      <w:r>
        <w:t>Skogsstyrelsen.</w:t>
      </w:r>
    </w:p>
    <w:p>
      <w:r>
        <w:t xml:space="preserve">SLU Artdatabanken, 2021. </w:t>
      </w:r>
      <w:r>
        <w:rPr>
          <w:i/>
        </w:rPr>
        <w:t xml:space="preserve">Artfaktablad. Naturvård – artfakta. </w:t>
      </w:r>
      <w:r>
        <w:t>SLU Artdatabanken, Uppsala</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2026-05-22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