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och inom 22 meter från avverkningsanmälan finns fynd av 5 naturvårdsarter, varav 2 är rödlistade, 2 är fridlysta, 4 är typiska (T) och 1 är signalart (S): brunfläckig pärlemorfjäril (VU), vårärt (NT, T), skogsknipprot (S, T, §8),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