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58464-2025 i Tierps kommun</w:t>
      </w:r>
    </w:p>
    <w:p>
      <w:r>
        <w:t>Detta dokument behandlar höga naturvärden i avverkningsanmälan A 58464-2025 i Tierps kommun. Denna avverkningsanmälan inkom 2025-11-24 15:16:39 och omfattar 19,9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rödvingetrast (NT, §4), skräntärna (NT, §4), myskmadra (S), skogsknipprot (S, §8), svart trolldruva (S), grönsiska (§4) och mindre flugsnappare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5798"/>
            <wp:docPr id="1" name="Picture 1"/>
            <wp:cNvGraphicFramePr>
              <a:graphicFrameLocks noChangeAspect="1"/>
            </wp:cNvGraphicFramePr>
            <a:graphic>
              <a:graphicData uri="http://schemas.openxmlformats.org/drawingml/2006/picture">
                <pic:pic>
                  <pic:nvPicPr>
                    <pic:cNvPr id="0" name="A 58464-2025 karta.png"/>
                    <pic:cNvPicPr/>
                  </pic:nvPicPr>
                  <pic:blipFill>
                    <a:blip r:embed="rId16"/>
                    <a:stretch>
                      <a:fillRect/>
                    </a:stretch>
                  </pic:blipFill>
                  <pic:spPr>
                    <a:xfrm>
                      <a:off x="0" y="0"/>
                      <a:ext cx="5486400" cy="47657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6711492, E 648388 i SWEREF 99 TM.</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Fridlysta arter</w:t>
      </w:r>
    </w:p>
    <w:p>
      <w:r>
        <w:t>Följande fridlysta arter har sina livsmiljöer och växtplatser i den avverkningsanmälda skogen: rödvingetrast (NT, §4), skräntärna (NT, §4), skogsknipprot (S, §8), grönsiska (§4) och mindre flugsnappare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r>
        <w:rPr>
          <w:b/>
        </w:rPr>
        <w:t>Skogsknipprot (§8)</w:t>
      </w:r>
      <w:r>
        <w:t xml:space="preserve"> är fridlyst enligt 8§ artskyddsförordningen och typisk art för </w:t>
      </w:r>
      <w:r>
        <w:rPr>
          <w:i/>
        </w:rPr>
        <w:t>9050 Näringsrik granskog</w:t>
      </w:r>
      <w:r>
        <w:t xml:space="preserve"> (SLU Artdatabanken, 2025).</w:t>
      </w:r>
    </w:p>
    <w:p>
      <w:r>
        <w:t>I BILAGA 1 finns mer detaljerad information om ekologi samt krav på livsmiljö hos fridlysta arter.</w:t>
      </w:r>
    </w:p>
    <w:p>
      <w:r>
        <w:br w:type="page"/>
      </w:r>
    </w:p>
    <w:p>
      <w:pPr>
        <w:pStyle w:val="Title"/>
      </w:pPr>
      <w:r>
        <w:t>BILAGA 1 – Fridlysta arter</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