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5730-2026 i Tierps kommun</w:t>
      </w:r>
    </w:p>
    <w:p>
      <w:r>
        <w:t>Denna tillsynsbegäran behandlar höga naturvärden i avverkningsanmälan A 5730-2026 i Tierps kommun som inkom 2026-01-29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45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4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6713613, E 653302 i SWEREF 99 TM.</w:t>
      </w:r>
    </w:p>
    <w:p>
      <w:r>
        <w:t>I avverkningsanmälan finns fynd av 1 naturvårdsarter, varav 1 är rödlistad: odörspindling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Odörspindling (NT)</w:t>
      </w:r>
      <w:r>
        <w:t xml:space="preserve"> bildar mykorrhiza med gran och tall i örtrik kalkbarrskog. Den uppträder huvudsakligen i äldre barrskogar så kallade ”bondeskogar” med en lång trädkontinuitet. Minskningstakten uppgår till 15 % inom 50 år och bedöms vara nära gränsvärdet för Sårbar (VU). (A2c+3c+4c). Virkesrika, äldre barrskogar med hög bonitet, på bättre jordar är en bristvara i befintliga, skyddade områden i Sverige och fler örtrika barrskogar med trädkontinuitet måste skyddas i större utsträckning än vad som tidigare gjorts. Områden med odörspindling bör inte gallras eller plockhuggas om inte huggningen efterföljs av skogsbete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