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40589-2026 i Tierps kommun</w:t>
      </w:r>
    </w:p>
    <w:p>
      <w:r>
        <w:t>Denna tillsynsbegäran behandlar höga naturvärden i avverkningsanmälan A 40589-2026 i Tierps kommun som inkom 2026-09-30 och omfattar 3,2 ha.</w:t>
      </w:r>
    </w:p>
    <w:p>
      <w:pPr>
        <w:pStyle w:val="Caption"/>
      </w:pPr>
      <w:r>
        <w:drawing>
          <wp:inline xmlns:a="http://schemas.openxmlformats.org/drawingml/2006/main" xmlns:pic="http://schemas.openxmlformats.org/drawingml/2006/picture">
            <wp:extent cx="5486400" cy="4418883"/>
            <wp:docPr id="1" name="Picture 1"/>
            <wp:cNvGraphicFramePr>
              <a:graphicFrameLocks noChangeAspect="1"/>
            </wp:cNvGraphicFramePr>
            <a:graphic>
              <a:graphicData uri="http://schemas.openxmlformats.org/drawingml/2006/picture">
                <pic:pic>
                  <pic:nvPicPr>
                    <pic:cNvPr id="0" name="A 40589-2026 karta.png"/>
                    <pic:cNvPicPr/>
                  </pic:nvPicPr>
                  <pic:blipFill>
                    <a:blip r:embed="rId16"/>
                    <a:stretch>
                      <a:fillRect/>
                    </a:stretch>
                  </pic:blipFill>
                  <pic:spPr>
                    <a:xfrm>
                      <a:off x="0" y="0"/>
                      <a:ext cx="5486400" cy="441888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6713825, E 651965 i SWEREF 99 TM.</w:t>
      </w:r>
    </w:p>
    <w:p>
      <w:r>
        <w:t>I och inom 19 meter från avverkningsanmälan finns fynd av 5 naturvårdsarter, varav 3 är rödlistade, 1 är typisk (T) och 2 är signalarter (S): taggfingersvamp (VU), orange taggsvamp (NT, T), skarp dropptaggsvamp (NT), rödgul trumpetsvamp (S)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