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41699-2025 i Tierps kommun</w:t>
      </w:r>
    </w:p>
    <w:p>
      <w:r>
        <w:t>Denna tillsynsbegäran behandlar höga naturvärden i avverkningsanmälan A 41699-2025 i Tierps kommun som inkom 2025-09-02 och omfattar 1,0 ha.</w:t>
      </w:r>
    </w:p>
    <w:p>
      <w:pPr>
        <w:pStyle w:val="Caption"/>
      </w:pPr>
      <w:r>
        <w:drawing>
          <wp:inline xmlns:a="http://schemas.openxmlformats.org/drawingml/2006/main" xmlns:pic="http://schemas.openxmlformats.org/drawingml/2006/picture">
            <wp:extent cx="5442718" cy="5724000"/>
            <wp:docPr id="1" name="Picture 1"/>
            <wp:cNvGraphicFramePr>
              <a:graphicFrameLocks noChangeAspect="1"/>
            </wp:cNvGraphicFramePr>
            <a:graphic>
              <a:graphicData uri="http://schemas.openxmlformats.org/drawingml/2006/picture">
                <pic:pic>
                  <pic:nvPicPr>
                    <pic:cNvPr id="0" name="A 41699-2025 karta.png"/>
                    <pic:cNvPicPr/>
                  </pic:nvPicPr>
                  <pic:blipFill>
                    <a:blip r:embed="rId16"/>
                    <a:stretch>
                      <a:fillRect/>
                    </a:stretch>
                  </pic:blipFill>
                  <pic:spPr>
                    <a:xfrm>
                      <a:off x="0" y="0"/>
                      <a:ext cx="5442718" cy="5724000"/>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6717014, E 660363 i SWEREF 99 TM.</w:t>
      </w:r>
    </w:p>
    <w:p>
      <w:r>
        <w:t>Inom 22 meter från avverkningsanmälan finns fynd av 2 naturvårdsarter, varav 1 är rödlistad och 1 är signalart (S): duvspindling (VU) och olivspindling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Duvspindling (VU)</w:t>
      </w:r>
      <w:r>
        <w:t xml:space="preserve"> bildar mykorrhiza med tall och förmodligen även gran i torr, kalkrik barrskog. Arten är placerad högst upp i Skogsstyrelsens värdepyramid för bedömning av skog med höga naturvärden och utgör en mycket bra indikator på skyddsvärd kalktallskog av sydöstlig typ. Kalavverkning, markberedning och markavvattning utgör de främsta hoten (SLU Artdatabanken, 2024; Nitare &amp; Skogsstyrelsen, 2019).</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