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r>
        <w:rPr>
          <w:highlight w:val="yellow"/>
        </w:rPr>
        <w:t>OBS! Ta bort denna text och instruktionerna nedan innan dokumentet skickas in.</w:t>
      </w:r>
    </w:p>
    <w:p>
      <w:r>
        <w:rPr>
          <w:u w:val="single"/>
        </w:rPr>
        <w:t>Saker att tänka på innan du skickar in synpunkter, förfrågningar och klagomål gällande FSC regelverket:</w:t>
      </w:r>
    </w:p>
    <w:p>
      <w:pPr>
        <w:pStyle w:val="ListBullet"/>
      </w:pPr>
      <w:r>
        <w:rPr>
          <w:b/>
        </w:rPr>
        <w:t>Mycket viktig att beställa hem</w:t>
      </w:r>
      <w:r>
        <w:rPr>
          <w:b/>
          <w:vertAlign w:val="superscript"/>
        </w:rPr>
        <w:t>1</w:t>
      </w:r>
      <w:r>
        <w:rPr>
          <w:b/>
        </w:rPr>
        <w:t xml:space="preserve"> och granska avverkningsanmälan från Skogsstyrelsen innan du skickar iväg något.</w:t>
      </w:r>
    </w:p>
    <w:p>
      <w:pPr>
        <w:pStyle w:val="ListBullet"/>
      </w:pPr>
      <w:r>
        <w:rPr>
          <w:b/>
        </w:rPr>
        <w:t xml:space="preserve">Den svenska FSC standardens krav (exempelvis indikator 6.4.3) kan endast användas om markägaren är FSC certifierad. </w:t>
      </w:r>
      <w:r>
        <w:t>Du måste därför ta reda på om markägaren är FSC certifierad innan du skickar in ett sådant klagomål</w:t>
      </w:r>
      <w:r>
        <w:rPr>
          <w:vertAlign w:val="superscript"/>
        </w:rPr>
        <w:t>2</w:t>
      </w:r>
      <w:r>
        <w:t>.</w:t>
      </w:r>
    </w:p>
    <w:p>
      <w:pPr>
        <w:pStyle w:val="ListBullet"/>
      </w:pPr>
      <w:r>
        <w:rPr>
          <w:b/>
        </w:rPr>
        <w:t>För att skicka klagomål gällande bristfällig hänsyn till rödlistade arter (indikator 6.4.3) måste man först granska om det finns någon hänsyn planerad till arterna i avverkningsanmälan.</w:t>
      </w:r>
    </w:p>
    <w:p>
      <w:pPr>
        <w:pStyle w:val="ListBullet"/>
      </w:pPr>
      <w:r>
        <w:t xml:space="preserve">Om du inte har granskat om hänsyn planeras till arterna i avverkningsanmälan kan du möjligen skicka in dokumentet som en synpunkt eller förfrågan. </w:t>
      </w:r>
      <w:r>
        <w:rPr>
          <w:b/>
        </w:rPr>
        <w:t>Om du skickar in som förfrågan kan du till skillnad från en synpunkt förvänta dig ett svar.</w:t>
      </w:r>
    </w:p>
    <w:p>
      <w:pPr>
        <w:pStyle w:val="ListBullet"/>
      </w:pPr>
      <w:r>
        <w:t>Klagomål mot FSC skogsbruksstandarden ska i ett första skede framföras till certifikatsinnehavaren, tex ett skogsbolag. Många (främst mindre) skogsägare är medlemmar i gruppcertifikat</w:t>
      </w:r>
      <w:r>
        <w:rPr>
          <w:vertAlign w:val="superscript"/>
        </w:rPr>
        <w:t>3</w:t>
      </w:r>
      <w:r>
        <w:t xml:space="preserve"> och då ska klagomålet framföras till gruppcertifikatet.</w:t>
      </w:r>
    </w:p>
    <w:p>
      <w:pPr>
        <w:pStyle w:val="ListBullet"/>
      </w:pPr>
      <w:r>
        <w:t>Om ett ombud (tex Norra skog eller Mellanskog) avverkningsanmäler en skog med naturvärden motsvarande nyckelbiotops kvalité men markägaren inte är FSC certifierad, bör du skicka in ett FSC kontrollerat virke klagomål. Då ska klagomålet skickas till ombudsföretaget.</w:t>
      </w:r>
    </w:p>
    <w:p>
      <w:pPr>
        <w:jc w:val="left"/>
      </w:pPr>
      <w:r>
        <w:rPr>
          <w:vertAlign w:val="superscript"/>
        </w:rPr>
        <w:t>1</w:t>
      </w:r>
      <w:r>
        <w:t xml:space="preserve"> Maila till skogsstyrelsen@skogsstyrelsen.se</w:t>
        <w:br/>
      </w:r>
      <w:r>
        <w:rPr>
          <w:vertAlign w:val="superscript"/>
        </w:rPr>
        <w:t>2</w:t>
      </w:r>
      <w:r>
        <w:t xml:space="preserve"> Hör av dig till FSC kansliet eller isak.lodin@wwf.se om du vill ha hjälp.</w:t>
        <w:br/>
      </w:r>
      <w:r>
        <w:rPr>
          <w:vertAlign w:val="superscript"/>
        </w:rPr>
        <w:t>3</w:t>
      </w:r>
      <w:r>
        <w:t xml:space="preserve"> https://se.fsc.org/se-sv/hitta/grupper-for-skogsbrukscertifiering</w:t>
      </w:r>
    </w:p>
    <w:p>
      <w:r>
        <w:rPr>
          <w:highlight w:val="yellow"/>
        </w:rPr>
        <w:t>OBS! Ta bort denna text och instruktionerna ovan innan dokumentet skickas in.</w:t>
        <w:br w:type="page"/>
      </w:r>
    </w:p>
    <w:p>
      <w:pPr>
        <w:pStyle w:val="Title"/>
      </w:pPr>
      <w:r>
        <w:t>Inledande FSC- /PEFC-klagomål – information om höga naturvärden och fridlysta arter i avverkningsanmälan A 18619-2025 i Tierps kommun</w:t>
      </w:r>
    </w:p>
    <w:p>
      <w:r>
        <w:t>Detta dokument behandlar höga naturvärden i avverkningsanmälan A 18619-2025 i Tierps kommun. Denna avverkningsanmälan inkom 2025-04-16 12:18:13 och omfattar 4,6 ha.</w:t>
      </w:r>
    </w:p>
    <w:p>
      <w:r>
        <w:t>Nedan presenteras fynd av naturvårdsarter och fridlysta arter som gjorts i det avverkningsanmälda området, samt relevanta utdrag ur standarderna för FSC, Chain of Custody, Controlled Wood och PEFC.</w:t>
      </w:r>
    </w:p>
    <w:p>
      <w:r>
        <w:t>Vi förväntar oss att ni återkommer med ett skriftligt svar på vårt klagomål och även beskriver vilka korrigerande åtgärder ni satt in för att rätta till identifierade brister i er efterlevnad av den svenska FSC standarden.</w:t>
      </w:r>
    </w:p>
    <w:p>
      <w:pPr>
        <w:pStyle w:val="Heading1"/>
      </w:pPr>
      <w:r>
        <w:t>Naturvårdsarter</w:t>
      </w:r>
    </w:p>
    <w:p>
      <w:r>
        <w:t>I avverkningsanmälan har följande 1 naturvårdsarter hittats: nästrot (S, §8). Arter som är signalarter enligt Skogsstyrelsen har markerats med (S). För fridlysta arter anges även paragrafen i Artskyddsförordningen som arten är fridlyst enligt.</w:t>
      </w:r>
    </w:p>
    <w:p>
      <w:r>
        <w:t>De påträffade naturvårdsarterna är ett tydligt kvitto på att detta rör sig om en skog med höga naturvärden. I Figur 1 visas en karta över det avverkningsanmälda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5415346"/>
            <wp:docPr id="1" name="Picture 1"/>
            <wp:cNvGraphicFramePr>
              <a:graphicFrameLocks noChangeAspect="1"/>
            </wp:cNvGraphicFramePr>
            <a:graphic>
              <a:graphicData uri="http://schemas.openxmlformats.org/drawingml/2006/picture">
                <pic:pic>
                  <pic:nvPicPr>
                    <pic:cNvPr id="0" name="A 18619-2025 karta.png"/>
                    <pic:cNvPicPr/>
                  </pic:nvPicPr>
                  <pic:blipFill>
                    <a:blip r:embed="rId16"/>
                    <a:stretch>
                      <a:fillRect/>
                    </a:stretch>
                  </pic:blipFill>
                  <pic:spPr>
                    <a:xfrm>
                      <a:off x="0" y="0"/>
                      <a:ext cx="5486400" cy="5415346"/>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6708969, E 665807 i SWEREF 99 TM.</w:t>
      </w:r>
    </w:p>
    <w:p>
      <w:pPr>
        <w:pStyle w:val="Heading1"/>
      </w:pPr>
      <w:r>
        <w:t>Fridlysta arter</w:t>
      </w:r>
    </w:p>
    <w:p>
      <w:r>
        <w:t>Följande fridlysta arter har sina livsmiljöer och växtplatser i den avverkningsanmälda skogen: nästrot (S, §8).</w:t>
      </w:r>
    </w:p>
    <w:p>
      <w:pPr>
        <w:pStyle w:val="Heading1"/>
      </w:pPr>
      <w:r>
        <w:t>Certifiering</w:t>
      </w:r>
    </w:p>
    <w:p>
      <w:pPr>
        <w:pStyle w:val="Heading2"/>
      </w:pPr>
      <w:r>
        <w:t>Ur FSC-standarden</w:t>
      </w:r>
    </w:p>
    <w:p>
      <w:r>
        <w:rPr>
          <w:b/>
        </w:rPr>
        <w:t xml:space="preserve">PRINCIP 1: LAGEFTERLEVNAD: </w:t>
      </w:r>
      <w:r>
        <w:t>Certifikatsinnehavaren ska följa alla tillämpliga lagar, förordningar och nationellt ratificerade internationella avtal, konventioner och överenskommelser.</w:t>
      </w:r>
    </w:p>
    <w:p>
      <w:r>
        <w:rPr>
          <w:b/>
        </w:rPr>
        <w:t xml:space="preserve">1.3.1 </w:t>
      </w:r>
      <w:r>
        <w:t>Tillämpliga lagar och föreskrifter för brukandet av skogen följs.</w:t>
      </w:r>
    </w:p>
    <w:p>
      <w:pPr>
        <w:pStyle w:val="ListBullet"/>
      </w:pPr>
      <w:r>
        <w:rPr>
          <w:b/>
          <w:i/>
        </w:rPr>
        <w:t xml:space="preserve">Kommentar: </w:t>
      </w:r>
      <w:r>
        <w:t>I den avverkningsanmälda skogen har fridlysta arter sina livsmiljöer och växtplatser. Att skada de fridlysta arternas livsmiljöer, växtplatser eller ekologiska funktion är inte tillåtet enligt artskyddsförordningen.</w:t>
      </w:r>
    </w:p>
    <w:p>
      <w:r>
        <w:rPr>
          <w:b/>
        </w:rPr>
        <w:t xml:space="preserve">6.4 </w:t>
      </w:r>
      <w:r>
        <w:t>Certifikatsinnehavaren ska skydda sällsynta arter och hotade arter samt deras livsmiljöer inom skogsbruksenheten. Det ska ske genom avsättningar, andra skyddade områden och genom att skapa konnektivitet och/eller genom andra direkta åtgärder som gynnar dessa arters överlevnad och livskraft. Åtgärderna ska stå i förhållande till brukandets skala, intensitet och risk, samt till sällsynta och hotade arters bevarandestatus och ekologiska krav. Certifikatsinnehavaren ska beakta den geografiska spridningen och ekologiska krav hos sällsynta och hotade arter utanför skogsbruksenhetens gränser när beslut om åtgärder inom skogsbruksenheten ska fattas.</w:t>
      </w:r>
    </w:p>
    <w:p>
      <w:r>
        <w:rPr>
          <w:b/>
        </w:rPr>
        <w:t xml:space="preserve">6.4.3 </w:t>
      </w:r>
      <w:r>
        <w:t>Bevarandeåtgärder genomförs för de kända förekomster av rödlistade arter som påverkas av skogsbruk.</w:t>
      </w:r>
    </w:p>
    <w:p>
      <w:pPr>
        <w:pStyle w:val="ListBullet"/>
      </w:pPr>
      <w:r>
        <w:rPr>
          <w:b/>
          <w:i/>
        </w:rPr>
        <w:t xml:space="preserve">Kommentar: </w:t>
      </w:r>
      <w:r>
        <w:rPr>
          <w:i/>
        </w:rPr>
        <w:t>I det avverkningsanmälda skogsområdet har 1 naturvårdsarter varav 0 rödlistade arter sina livsmiljöer och växtplatser.</w:t>
      </w:r>
    </w:p>
    <w:p>
      <w:pPr>
        <w:pStyle w:val="Heading2"/>
      </w:pPr>
      <w:r>
        <w:t>Ur Chain of Custody Certification (FSC-STD-40-004 ver 3.0)</w:t>
      </w:r>
    </w:p>
    <w:p>
      <w:r>
        <w:rPr>
          <w:b/>
        </w:rPr>
        <w:t xml:space="preserve">1.3 </w:t>
      </w:r>
      <w:r>
        <w:t xml:space="preserve">The organization shall commit to the FSC values as defined in FSC-POL-01-004 Policy for the Association of Organizations with FSC. </w:t>
      </w:r>
    </w:p>
    <w:p>
      <w:pPr>
        <w:pStyle w:val="Heading2"/>
      </w:pPr>
      <w:r>
        <w:t>Ur FSC:s policy för associerade organisationer (FSC-POL-01-004)</w:t>
      </w:r>
    </w:p>
    <w:p>
      <w:r>
        <w:t xml:space="preserve">Som “Chain of Custody”-certifierad organisation är skogsbolaget bunden av de fastställda reglerna i Del 1 Punkt 1 c) i Policy för organisationer associerade med FSC (FSC-POL-01-004 V2-0 EN + SVE version 2012-03-02): </w:t>
      </w:r>
    </w:p>
    <w:p>
      <w:pPr>
        <w:pStyle w:val="ListNumber"/>
      </w:pPr>
      <w:r>
        <w:t>De organisationer FSC kan acceptera association med får inte direkt eller indirekt ha några kopplingar till nedanstående, oacceptabla aktiviteter:</w:t>
      </w:r>
    </w:p>
    <w:p>
      <w:pPr>
        <w:ind w:left="357"/>
      </w:pPr>
      <w:r>
        <w:t>a) Olaglig skogsavverkning och handel med olagligt avverkat virke eller skogsprodukter</w:t>
      </w:r>
    </w:p>
    <w:p>
      <w:pPr>
        <w:ind w:left="357"/>
      </w:pPr>
      <w:r>
        <w:t>...</w:t>
      </w:r>
    </w:p>
    <w:p>
      <w:pPr>
        <w:ind w:left="357"/>
      </w:pPr>
      <w:r>
        <w:t>c) Skogsbruk som förstör höga naturvärden</w:t>
      </w:r>
    </w:p>
    <w:p>
      <w:pPr>
        <w:ind w:left="357"/>
      </w:pPr>
      <w:r>
        <w:t>d) Betydande omvandling av skog till plantager eller annan, icke skoglig, markanvändning</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2"/>
      </w:pPr>
      <w:r>
        <w:t>Ur FSC Controlled Wood (FSC-STD-40-005)</w:t>
      </w:r>
    </w:p>
    <w:p>
      <w:r>
        <w:t>Virke som inte accepteras i FSC-märkta produkter (oacceptabelt ursprung) enligt FSC Controlled Wood (FSC-STD-40-005):</w:t>
      </w:r>
    </w:p>
    <w:p>
      <w:pPr>
        <w:pStyle w:val="ListNumber"/>
      </w:pPr>
      <w:r>
        <w:t>Illegalt avverkat virke.</w:t>
      </w:r>
    </w:p>
    <w:p>
      <w:pPr>
        <w:pStyle w:val="ListNumber"/>
      </w:pPr>
      <w:r>
        <w:t>...</w:t>
      </w:r>
    </w:p>
    <w:p>
      <w:pPr>
        <w:pStyle w:val="ListNumber"/>
      </w:pPr>
      <w:r>
        <w:t>Virke från avverkningar som hotar höga naturvärden.</w:t>
      </w:r>
    </w:p>
    <w:p>
      <w:pPr>
        <w:pStyle w:val="ListNumber"/>
      </w:pPr>
      <w:r>
        <w:t>Virke från skog som konverteras till plantager eller icke-skogligt bruk.</w:t>
      </w:r>
    </w:p>
    <w:p>
      <w:pPr>
        <w:pStyle w:val="ListBullet"/>
      </w:pPr>
      <w:r>
        <w:rPr>
          <w:b/>
          <w:i/>
        </w:rPr>
        <w:t xml:space="preserve">Kommentar: </w:t>
      </w:r>
      <w:r>
        <w:rPr>
          <w:i/>
        </w:rPr>
        <w:t>Avverkning av skog med höga naturvärden samt skada på fridlysta arter strider både mot FSC Controlled Wood-standarden och FSC:s policy for associerade organisationer.</w:t>
      </w:r>
    </w:p>
    <w:p>
      <w:pPr>
        <w:pStyle w:val="Heading1"/>
      </w:pPr>
      <w:r>
        <w:t>Ur PEFC-standarden gällande lagefterlevnad</w:t>
      </w:r>
    </w:p>
    <w:p>
      <w:r>
        <w:t>PEFC-standarden förutsätter att tillämplig svensk lagstiftning följs. Det är utsedd tillsynsmyndighet som ansvarar för tillsyn av lagens efterlevnad. PEFC-standarden återger innehållet i vissa certifieringskritiska lag- och föreskriftskrav vilka ska ingå i granskning av PEFC-systemets efterlevnad.</w:t>
      </w:r>
    </w:p>
    <w:p>
      <w:pPr>
        <w:pStyle w:val="ListBullet"/>
      </w:pPr>
      <w:r>
        <w:rPr>
          <w:b/>
          <w:i/>
        </w:rPr>
        <w:t xml:space="preserve">Kommentar: </w:t>
      </w:r>
      <w:r>
        <w:rPr>
          <w:i/>
        </w:rPr>
        <w:t>I den avverkningsanmälda skogen har fridlysta arter sina livsmiljöer och växtplatser. Att skada de fridlysta arternas livsmiljöer, växtplatser eller ekologiska funktion är inte tillåtet enligt artskyddsförordningen</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2025-10-27</w:t>
      <w:br/>
      <w:br/>
    </w:r>
    <w:r>
      <w:t>Till:</w:t>
      <w:br/>
    </w:r>
    <w:r>
      <w:t>Kopia: Revisor xx och FSC</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sv-SE"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lang w:val="sv-SE" w:eastAsia="en-US" w:bidi="ar-SA"/>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lang w:val="sv-SE" w:eastAsia="en-US" w:bidi="ar-SA"/>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lang w:val="sv-SE" w:eastAsia="en-US" w:bidi="ar-SA"/>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lang w:val="sv-SE" w:eastAsia="en-US" w:bidi="ar-SA"/>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lang w:val="sv-SE" w:eastAsia="en-US" w:bidi="ar-SA"/>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lang w:val="sv-SE" w:eastAsia="en-US" w:bidi="ar-SA"/>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lang w:val="sv-SE" w:eastAsia="en-US" w:bidi="ar-SA"/>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lang w:val="sv-SE" w:eastAsia="en-US" w:bidi="ar-SA"/>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lang w:val="sv-SE" w:eastAsia="en-US" w:bidi="ar-SA"/>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lang w:val="sv-SE" w:eastAsia="en-US" w:bidi="ar-SA"/>
    </w:rPr>
  </w:style>
  <w:style w:type="character" w:default="1" w:styleId="DefaultParagraphFont">
    <w:name w:val="Default Paragraph Font"/>
    <w:uiPriority w:val="1"/>
    <w:semiHidden/>
    <w:unhideWhenUsed/>
    <w:rPr>
      <w:lang w:val="sv-SE" w:eastAsia="en-US" w:bidi="ar-SA"/>
    </w:rPr>
  </w:style>
  <w:style w:type="table" w:default="1" w:styleId="TableNormal">
    <w:name w:val="Normal Table"/>
    <w:uiPriority w:val="99"/>
    <w:semiHidden/>
    <w:unhideWhenUsed/>
    <w:rPr>
      <w:lang w:val="sv-SE" w:eastAsia="en-US" w:bidi="ar-SA"/>
    </w:rPr>
    <w:tblPr>
      <w:tblInd w:w="0" w:type="dxa"/>
      <w:tblCellMar>
        <w:top w:w="0" w:type="dxa"/>
        <w:left w:w="108" w:type="dxa"/>
        <w:bottom w:w="0" w:type="dxa"/>
        <w:right w:w="108" w:type="dxa"/>
      </w:tblCellMar>
    </w:tblPr>
  </w:style>
  <w:style w:type="numbering" w:default="1" w:styleId="NoList">
    <w:name w:val="No List"/>
    <w:uiPriority w:val="99"/>
    <w:semiHidden/>
    <w:unhideWhenUsed/>
    <w:rPr>
      <w:lang w:val="sv-SE" w:eastAsia="en-US" w:bidi="ar-SA"/>
    </w:rPr>
  </w:style>
  <w:style w:type="paragraph" w:styleId="Header">
    <w:name w:val="header"/>
    <w:basedOn w:val="Normal"/>
    <w:link w:val="HeaderChar"/>
    <w:uiPriority w:val="99"/>
    <w:unhideWhenUsed/>
    <w:rsid w:val="00E618BF"/>
    <w:pPr>
      <w:tabs>
        <w:tab w:val="center" w:pos="4680"/>
        <w:tab w:val="right" w:pos="9360"/>
      </w:tabs>
      <w:spacing w:after="0" w:line="240" w:lineRule="auto"/>
    </w:pPr>
    <w:rPr>
      <w:lang w:val="sv-SE" w:eastAsia="en-US" w:bidi="ar-SA"/>
    </w:rPr>
  </w:style>
  <w:style w:type="character" w:customStyle="1" w:styleId="HeaderChar">
    <w:name w:val="Header Char"/>
    <w:basedOn w:val="DefaultParagraphFont"/>
    <w:link w:val="Header"/>
    <w:uiPriority w:val="99"/>
    <w:rsid w:val="00E618BF"/>
    <w:rPr>
      <w:lang w:val="sv-SE" w:eastAsia="en-US" w:bidi="ar-SA"/>
    </w:rPr>
  </w:style>
  <w:style w:type="paragraph" w:styleId="Footer">
    <w:name w:val="footer"/>
    <w:basedOn w:val="Normal"/>
    <w:link w:val="FooterChar"/>
    <w:uiPriority w:val="99"/>
    <w:unhideWhenUsed/>
    <w:rsid w:val="00E618BF"/>
    <w:pPr>
      <w:tabs>
        <w:tab w:val="center" w:pos="4680"/>
        <w:tab w:val="right" w:pos="9360"/>
      </w:tabs>
      <w:spacing w:after="0" w:line="240" w:lineRule="auto"/>
    </w:pPr>
    <w:rPr>
      <w:lang w:val="sv-SE" w:eastAsia="en-US" w:bidi="ar-SA"/>
    </w:rPr>
  </w:style>
  <w:style w:type="character" w:customStyle="1" w:styleId="FooterChar">
    <w:name w:val="Footer Char"/>
    <w:basedOn w:val="DefaultParagraphFont"/>
    <w:link w:val="Footer"/>
    <w:uiPriority w:val="99"/>
    <w:rsid w:val="00E618BF"/>
    <w:rPr>
      <w:lang w:val="sv-SE" w:eastAsia="en-US" w:bidi="ar-SA"/>
    </w:rPr>
  </w:style>
  <w:style w:type="paragraph" w:styleId="NoSpacing">
    <w:name w:val="No Spacing"/>
    <w:uiPriority w:val="1"/>
    <w:qFormat/>
    <w:rsid w:val="00FC693F"/>
    <w:pPr>
      <w:spacing w:after="0" w:line="240" w:lineRule="auto"/>
    </w:pPr>
    <w:rPr>
      <w:lang w:val="sv-SE" w:eastAsia="en-US" w:bidi="ar-SA"/>
    </w:r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lang w:val="sv-SE" w:eastAsia="en-US" w:bidi="ar-SA"/>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lang w:val="sv-SE" w:eastAsia="en-US" w:bidi="ar-SA"/>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lang w:val="sv-SE" w:eastAsia="en-US" w:bidi="ar-SA"/>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lang w:val="sv-SE" w:eastAsia="en-US" w:bidi="ar-SA"/>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lang w:val="sv-SE" w:eastAsia="en-US" w:bidi="ar-SA"/>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lang w:val="sv-SE" w:eastAsia="en-US" w:bidi="ar-SA"/>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lang w:val="sv-SE" w:eastAsia="en-US" w:bidi="ar-SA"/>
    </w:rPr>
  </w:style>
  <w:style w:type="paragraph" w:styleId="ListParagraph">
    <w:name w:val="List Paragraph"/>
    <w:basedOn w:val="Normal"/>
    <w:uiPriority w:val="34"/>
    <w:qFormat/>
    <w:rsid w:val="00FC693F"/>
    <w:pPr>
      <w:ind w:left="720"/>
      <w:contextualSpacing/>
    </w:pPr>
    <w:rPr>
      <w:lang w:val="sv-SE" w:eastAsia="en-US" w:bidi="ar-SA"/>
    </w:rPr>
  </w:style>
  <w:style w:type="paragraph" w:styleId="BodyText">
    <w:name w:val="Body Text"/>
    <w:basedOn w:val="Normal"/>
    <w:link w:val="BodyTextChar"/>
    <w:uiPriority w:val="99"/>
    <w:unhideWhenUsed/>
    <w:rsid w:val="00AA1D8D"/>
    <w:pPr>
      <w:spacing w:after="120"/>
    </w:pPr>
    <w:rPr>
      <w:lang w:val="sv-SE" w:eastAsia="en-US" w:bidi="ar-SA"/>
    </w:rPr>
  </w:style>
  <w:style w:type="character" w:customStyle="1" w:styleId="BodyTextChar">
    <w:name w:val="Body Text Char"/>
    <w:basedOn w:val="DefaultParagraphFont"/>
    <w:link w:val="BodyText"/>
    <w:uiPriority w:val="99"/>
    <w:rsid w:val="00AA1D8D"/>
    <w:rPr>
      <w:lang w:val="sv-SE" w:eastAsia="en-US" w:bidi="ar-SA"/>
    </w:rPr>
  </w:style>
  <w:style w:type="paragraph" w:styleId="BodyText2">
    <w:name w:val="Body Text 2"/>
    <w:basedOn w:val="Normal"/>
    <w:link w:val="BodyText2Char"/>
    <w:uiPriority w:val="99"/>
    <w:unhideWhenUsed/>
    <w:rsid w:val="00AA1D8D"/>
    <w:pPr>
      <w:spacing w:after="120" w:line="480" w:lineRule="auto"/>
    </w:pPr>
    <w:rPr>
      <w:lang w:val="sv-SE" w:eastAsia="en-US" w:bidi="ar-SA"/>
    </w:rPr>
  </w:style>
  <w:style w:type="character" w:customStyle="1" w:styleId="BodyText2Char">
    <w:name w:val="Body Text 2 Char"/>
    <w:basedOn w:val="DefaultParagraphFont"/>
    <w:link w:val="BodyText2"/>
    <w:uiPriority w:val="99"/>
    <w:rsid w:val="00AA1D8D"/>
    <w:rPr>
      <w:lang w:val="sv-SE" w:eastAsia="en-US" w:bidi="ar-SA"/>
    </w:rPr>
  </w:style>
  <w:style w:type="paragraph" w:styleId="BodyText3">
    <w:name w:val="Body Text 3"/>
    <w:basedOn w:val="Normal"/>
    <w:link w:val="BodyText3Char"/>
    <w:uiPriority w:val="99"/>
    <w:unhideWhenUsed/>
    <w:rsid w:val="00AA1D8D"/>
    <w:pPr>
      <w:spacing w:after="120"/>
    </w:pPr>
    <w:rPr>
      <w:sz w:val="16"/>
      <w:szCs w:val="16"/>
      <w:lang w:val="sv-SE" w:eastAsia="en-US" w:bidi="ar-SA"/>
    </w:rPr>
  </w:style>
  <w:style w:type="character" w:customStyle="1" w:styleId="BodyText3Char">
    <w:name w:val="Body Text 3 Char"/>
    <w:basedOn w:val="DefaultParagraphFont"/>
    <w:link w:val="BodyText3"/>
    <w:uiPriority w:val="99"/>
    <w:rsid w:val="00AA1D8D"/>
    <w:rPr>
      <w:sz w:val="16"/>
      <w:szCs w:val="16"/>
      <w:lang w:val="sv-SE" w:eastAsia="en-US" w:bidi="ar-SA"/>
    </w:rPr>
  </w:style>
  <w:style w:type="paragraph" w:styleId="List">
    <w:name w:val="List"/>
    <w:basedOn w:val="Normal"/>
    <w:uiPriority w:val="99"/>
    <w:unhideWhenUsed/>
    <w:rsid w:val="00AA1D8D"/>
    <w:pPr>
      <w:ind w:left="360" w:hanging="360"/>
      <w:contextualSpacing/>
    </w:pPr>
    <w:rPr>
      <w:lang w:val="sv-SE" w:eastAsia="en-US" w:bidi="ar-SA"/>
    </w:rPr>
  </w:style>
  <w:style w:type="paragraph" w:styleId="List2">
    <w:name w:val="List 2"/>
    <w:basedOn w:val="Normal"/>
    <w:uiPriority w:val="99"/>
    <w:unhideWhenUsed/>
    <w:rsid w:val="00326F90"/>
    <w:pPr>
      <w:ind w:left="720" w:hanging="360"/>
      <w:contextualSpacing/>
    </w:pPr>
    <w:rPr>
      <w:lang w:val="sv-SE" w:eastAsia="en-US" w:bidi="ar-SA"/>
    </w:rPr>
  </w:style>
  <w:style w:type="paragraph" w:styleId="List3">
    <w:name w:val="List 3"/>
    <w:basedOn w:val="Normal"/>
    <w:uiPriority w:val="99"/>
    <w:unhideWhenUsed/>
    <w:rsid w:val="00326F90"/>
    <w:pPr>
      <w:ind w:left="1080" w:hanging="360"/>
      <w:contextualSpacing/>
    </w:pPr>
    <w:rPr>
      <w:lang w:val="sv-SE" w:eastAsia="en-US" w:bidi="ar-SA"/>
    </w:rPr>
  </w:style>
  <w:style w:type="paragraph" w:styleId="ListBullet">
    <w:name w:val="List Bullet"/>
    <w:basedOn w:val="Normal"/>
    <w:uiPriority w:val="99"/>
    <w:unhideWhenUsed/>
    <w:rsid w:val="00326F90"/>
    <w:pPr>
      <w:numPr>
        <w:numId w:val="1"/>
      </w:numPr>
      <w:contextualSpacing/>
    </w:pPr>
    <w:rPr>
      <w:lang w:val="sv-SE" w:eastAsia="en-US" w:bidi="ar-SA"/>
    </w:rPr>
  </w:style>
  <w:style w:type="paragraph" w:styleId="ListBullet2">
    <w:name w:val="List Bullet 2"/>
    <w:basedOn w:val="Normal"/>
    <w:uiPriority w:val="99"/>
    <w:unhideWhenUsed/>
    <w:rsid w:val="00326F90"/>
    <w:pPr>
      <w:numPr>
        <w:numId w:val="2"/>
      </w:numPr>
      <w:contextualSpacing/>
    </w:pPr>
    <w:rPr>
      <w:lang w:val="sv-SE" w:eastAsia="en-US" w:bidi="ar-SA"/>
    </w:rPr>
  </w:style>
  <w:style w:type="paragraph" w:styleId="ListBullet3">
    <w:name w:val="List Bullet 3"/>
    <w:basedOn w:val="Normal"/>
    <w:uiPriority w:val="99"/>
    <w:unhideWhenUsed/>
    <w:rsid w:val="00326F90"/>
    <w:pPr>
      <w:numPr>
        <w:numId w:val="3"/>
      </w:numPr>
      <w:contextualSpacing/>
    </w:pPr>
    <w:rPr>
      <w:lang w:val="sv-SE" w:eastAsia="en-US" w:bidi="ar-SA"/>
    </w:rPr>
  </w:style>
  <w:style w:type="paragraph" w:styleId="ListNumber">
    <w:name w:val="List Number"/>
    <w:basedOn w:val="Normal"/>
    <w:uiPriority w:val="99"/>
    <w:unhideWhenUsed/>
    <w:rsid w:val="00326F90"/>
    <w:pPr>
      <w:numPr>
        <w:numId w:val="5"/>
      </w:numPr>
      <w:contextualSpacing/>
    </w:pPr>
    <w:rPr>
      <w:lang w:val="sv-SE" w:eastAsia="en-US" w:bidi="ar-SA"/>
    </w:rPr>
  </w:style>
  <w:style w:type="paragraph" w:styleId="ListNumber2">
    <w:name w:val="List Number 2"/>
    <w:basedOn w:val="Normal"/>
    <w:uiPriority w:val="99"/>
    <w:unhideWhenUsed/>
    <w:rsid w:val="0029639D"/>
    <w:pPr>
      <w:numPr>
        <w:numId w:val="6"/>
      </w:numPr>
      <w:contextualSpacing/>
    </w:pPr>
    <w:rPr>
      <w:lang w:val="sv-SE" w:eastAsia="en-US" w:bidi="ar-SA"/>
    </w:rPr>
  </w:style>
  <w:style w:type="paragraph" w:styleId="ListNumber3">
    <w:name w:val="List Number 3"/>
    <w:basedOn w:val="Normal"/>
    <w:uiPriority w:val="99"/>
    <w:unhideWhenUsed/>
    <w:rsid w:val="0029639D"/>
    <w:pPr>
      <w:numPr>
        <w:numId w:val="7"/>
      </w:numPr>
      <w:contextualSpacing/>
    </w:pPr>
    <w:rPr>
      <w:lang w:val="sv-SE" w:eastAsia="en-US" w:bidi="ar-SA"/>
    </w:rPr>
  </w:style>
  <w:style w:type="paragraph" w:styleId="ListContinue">
    <w:name w:val="List Continue"/>
    <w:basedOn w:val="Normal"/>
    <w:uiPriority w:val="99"/>
    <w:unhideWhenUsed/>
    <w:rsid w:val="0029639D"/>
    <w:pPr>
      <w:spacing w:after="120"/>
      <w:ind w:left="360"/>
      <w:contextualSpacing/>
    </w:pPr>
    <w:rPr>
      <w:lang w:val="sv-SE" w:eastAsia="en-US" w:bidi="ar-SA"/>
    </w:rPr>
  </w:style>
  <w:style w:type="paragraph" w:styleId="ListContinue2">
    <w:name w:val="List Continue 2"/>
    <w:basedOn w:val="Normal"/>
    <w:uiPriority w:val="99"/>
    <w:unhideWhenUsed/>
    <w:rsid w:val="0029639D"/>
    <w:pPr>
      <w:spacing w:after="120"/>
      <w:ind w:left="720"/>
      <w:contextualSpacing/>
    </w:pPr>
    <w:rPr>
      <w:lang w:val="sv-SE" w:eastAsia="en-US" w:bidi="ar-SA"/>
    </w:rPr>
  </w:style>
  <w:style w:type="paragraph" w:styleId="ListContinue3">
    <w:name w:val="List Continue 3"/>
    <w:basedOn w:val="Normal"/>
    <w:uiPriority w:val="99"/>
    <w:unhideWhenUsed/>
    <w:rsid w:val="0029639D"/>
    <w:pPr>
      <w:spacing w:after="120"/>
      <w:ind w:left="1080"/>
      <w:contextualSpacing/>
    </w:pPr>
    <w:rPr>
      <w:lang w:val="sv-SE" w:eastAsia="en-US" w:bidi="ar-SA"/>
    </w:r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lang w:val="sv-SE" w:eastAsia="en-US" w:bidi="ar-SA"/>
    </w:rPr>
  </w:style>
  <w:style w:type="character" w:customStyle="1" w:styleId="MacroTextChar">
    <w:name w:val="Macro Text Char"/>
    <w:basedOn w:val="DefaultParagraphFont"/>
    <w:link w:val="MacroText"/>
    <w:uiPriority w:val="99"/>
    <w:rsid w:val="0029639D"/>
    <w:rPr>
      <w:rFonts w:ascii="Courier" w:hAnsi="Courier"/>
      <w:sz w:val="20"/>
      <w:szCs w:val="20"/>
      <w:lang w:val="sv-SE" w:eastAsia="en-US" w:bidi="ar-SA"/>
    </w:rPr>
  </w:style>
  <w:style w:type="paragraph" w:styleId="Quote">
    <w:name w:val="Quote"/>
    <w:basedOn w:val="Normal"/>
    <w:next w:val="Normal"/>
    <w:link w:val="QuoteChar"/>
    <w:uiPriority w:val="29"/>
    <w:qFormat/>
    <w:rsid w:val="00FC693F"/>
    <w:rPr>
      <w:i/>
      <w:iCs/>
      <w:color w:val="000000" w:themeColor="text1"/>
      <w:lang w:val="sv-SE" w:eastAsia="en-US" w:bidi="ar-SA"/>
    </w:rPr>
  </w:style>
  <w:style w:type="character" w:customStyle="1" w:styleId="QuoteChar">
    <w:name w:val="Quote Char"/>
    <w:basedOn w:val="DefaultParagraphFont"/>
    <w:link w:val="Quote"/>
    <w:uiPriority w:val="29"/>
    <w:rsid w:val="00FC693F"/>
    <w:rPr>
      <w:i/>
      <w:iCs/>
      <w:color w:val="000000" w:themeColor="text1"/>
      <w:lang w:val="sv-SE" w:eastAsia="en-US" w:bidi="ar-SA"/>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lang w:val="sv-SE" w:eastAsia="en-US" w:bidi="ar-SA"/>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lang w:val="sv-SE" w:eastAsia="en-US" w:bidi="ar-SA"/>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lang w:val="sv-SE" w:eastAsia="en-US" w:bidi="ar-SA"/>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lang w:val="sv-SE" w:eastAsia="en-US" w:bidi="ar-SA"/>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lang w:val="sv-SE" w:eastAsia="en-US" w:bidi="ar-SA"/>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lang w:val="sv-SE" w:eastAsia="en-US" w:bidi="ar-SA"/>
    </w:rPr>
  </w:style>
  <w:style w:type="paragraph" w:styleId="Caption">
    <w:name w:val="caption"/>
    <w:basedOn w:val="Normal"/>
    <w:next w:val="Normal"/>
    <w:uiPriority w:val="35"/>
    <w:unhideWhenUsed/>
    <w:qFormat/>
    <w:rsid w:val="00ED360C"/>
    <w:pPr>
      <w:spacing w:after="80" w:line="240" w:lineRule="auto"/>
    </w:pPr>
    <w:rPr>
      <w:bCs/>
      <w:sz w:val="18"/>
      <w:szCs w:val="18"/>
      <w:lang w:val="sv-SE" w:eastAsia="en-US" w:bidi="ar-SA"/>
    </w:rPr>
  </w:style>
  <w:style w:type="character" w:styleId="Strong">
    <w:name w:val="Strong"/>
    <w:basedOn w:val="DefaultParagraphFont"/>
    <w:uiPriority w:val="22"/>
    <w:qFormat/>
    <w:rsid w:val="00FC693F"/>
    <w:rPr>
      <w:b/>
      <w:bCs/>
      <w:lang w:val="sv-SE" w:eastAsia="en-US" w:bidi="ar-SA"/>
    </w:rPr>
  </w:style>
  <w:style w:type="character" w:styleId="Emphasis">
    <w:name w:val="Emphasis"/>
    <w:basedOn w:val="DefaultParagraphFont"/>
    <w:uiPriority w:val="20"/>
    <w:qFormat/>
    <w:rsid w:val="00FC693F"/>
    <w:rPr>
      <w:i/>
      <w:iCs/>
      <w:lang w:val="sv-SE" w:eastAsia="en-US" w:bidi="ar-SA"/>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lang w:val="sv-SE" w:eastAsia="en-US" w:bidi="ar-SA"/>
    </w:rPr>
  </w:style>
  <w:style w:type="character" w:customStyle="1" w:styleId="IntenseQuoteChar">
    <w:name w:val="Intense Quote Char"/>
    <w:basedOn w:val="DefaultParagraphFont"/>
    <w:link w:val="IntenseQuote"/>
    <w:uiPriority w:val="30"/>
    <w:rsid w:val="00FC693F"/>
    <w:rPr>
      <w:b/>
      <w:bCs/>
      <w:i/>
      <w:iCs/>
      <w:color w:val="4F81BD" w:themeColor="accent1"/>
      <w:lang w:val="sv-SE" w:eastAsia="en-US" w:bidi="ar-SA"/>
    </w:rPr>
  </w:style>
  <w:style w:type="character" w:styleId="SubtleEmphasis">
    <w:name w:val="Subtle Emphasis"/>
    <w:basedOn w:val="DefaultParagraphFont"/>
    <w:uiPriority w:val="19"/>
    <w:qFormat/>
    <w:rsid w:val="00FC693F"/>
    <w:rPr>
      <w:i/>
      <w:iCs/>
      <w:color w:val="808080" w:themeColor="text1" w:themeTint="7F"/>
      <w:lang w:val="sv-SE" w:eastAsia="en-US" w:bidi="ar-SA"/>
    </w:rPr>
  </w:style>
  <w:style w:type="character" w:styleId="IntenseEmphasis">
    <w:name w:val="Intense Emphasis"/>
    <w:basedOn w:val="DefaultParagraphFont"/>
    <w:uiPriority w:val="21"/>
    <w:qFormat/>
    <w:rsid w:val="00FC693F"/>
    <w:rPr>
      <w:b/>
      <w:bCs/>
      <w:i/>
      <w:iCs/>
      <w:color w:val="4F81BD" w:themeColor="accent1"/>
      <w:lang w:val="sv-SE" w:eastAsia="en-US" w:bidi="ar-SA"/>
    </w:rPr>
  </w:style>
  <w:style w:type="character" w:styleId="SubtleReference">
    <w:name w:val="Subtle Reference"/>
    <w:basedOn w:val="DefaultParagraphFont"/>
    <w:uiPriority w:val="31"/>
    <w:qFormat/>
    <w:rsid w:val="00FC693F"/>
    <w:rPr>
      <w:smallCaps/>
      <w:color w:val="C0504D" w:themeColor="accent2"/>
      <w:u w:val="single"/>
      <w:lang w:val="sv-SE" w:eastAsia="en-US" w:bidi="ar-SA"/>
    </w:rPr>
  </w:style>
  <w:style w:type="character" w:styleId="IntenseReference">
    <w:name w:val="Intense Reference"/>
    <w:basedOn w:val="DefaultParagraphFont"/>
    <w:uiPriority w:val="32"/>
    <w:qFormat/>
    <w:rsid w:val="00FC693F"/>
    <w:rPr>
      <w:b/>
      <w:bCs/>
      <w:smallCaps/>
      <w:color w:val="C0504D" w:themeColor="accent2"/>
      <w:spacing w:val="5"/>
      <w:u w:val="single"/>
      <w:lang w:val="sv-SE" w:eastAsia="en-US" w:bidi="ar-SA"/>
    </w:rPr>
  </w:style>
  <w:style w:type="character" w:styleId="BookTitle">
    <w:name w:val="Book Title"/>
    <w:basedOn w:val="DefaultParagraphFont"/>
    <w:uiPriority w:val="33"/>
    <w:qFormat/>
    <w:rsid w:val="00FC693F"/>
    <w:rPr>
      <w:b/>
      <w:bCs/>
      <w:smallCaps/>
      <w:spacing w:val="5"/>
      <w:lang w:val="sv-SE" w:eastAsia="en-US" w:bidi="ar-SA"/>
    </w:rPr>
  </w:style>
  <w:style w:type="paragraph" w:styleId="TOCHeading">
    <w:name w:val="TOC Heading"/>
    <w:basedOn w:val="Heading1"/>
    <w:next w:val="Normal"/>
    <w:uiPriority w:val="39"/>
    <w:semiHidden/>
    <w:unhideWhenUsed/>
    <w:qFormat/>
    <w:rsid w:val="00FC693F"/>
    <w:pPr>
      <w:outlineLvl w:val="9"/>
    </w:pPr>
    <w:rPr>
      <w:lang w:val="sv-SE" w:eastAsia="en-US" w:bidi="ar-SA"/>
    </w:rPr>
  </w:style>
  <w:style w:type="table" w:styleId="TableGrid">
    <w:name w:val="Table Grid"/>
    <w:basedOn w:val="TableNormal"/>
    <w:uiPriority w:val="59"/>
    <w:rsid w:val="00FC693F"/>
    <w:pPr>
      <w:spacing w:after="0" w:line="240" w:lineRule="auto"/>
    </w:pPr>
    <w:rPr>
      <w:lang w:val="sv-SE" w:eastAsia="en-US" w:bidi="ar-SA"/>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rPr>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rPr>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rPr>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rPr>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rPr>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rPr>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rPr>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rPr>
      <w:lang w:val="sv-SE" w:eastAsia="en-US" w:bidi="ar-SA"/>
    </w:r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lang w:val="sv-SE" w:eastAsia="en-US" w:bidi="ar-SA"/>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rPr>
      <w:lang w:val="sv-SE" w:eastAsia="en-US" w:bidi="ar-SA"/>
    </w:r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rPr>
      <w:lang w:val="sv-SE" w:eastAsia="en-US" w:bidi="ar-SA"/>
    </w:r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rPr>
      <w:lang w:val="sv-SE" w:eastAsia="en-US" w:bidi="ar-SA"/>
    </w:r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rPr>
      <w:lang w:val="sv-SE" w:eastAsia="en-US" w:bidi="ar-SA"/>
    </w:r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rPr>
      <w:lang w:val="sv-SE" w:eastAsia="en-US" w:bidi="ar-SA"/>
    </w:r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rPr>
      <w:lang w:val="sv-SE" w:eastAsia="en-US" w:bidi="ar-SA"/>
    </w:r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rPr>
      <w:lang w:val="sv-SE" w:eastAsia="en-US" w:bidi="ar-SA"/>
    </w:r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lang w:val="sv-SE" w:eastAsia="en-US" w:bidi="ar-SA"/>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rPr>
      <w:lang w:val="sv-SE" w:eastAsia="en-US" w:bidi="ar-SA"/>
    </w:r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lang w:val="sv-SE" w:eastAsia="en-US" w:bidi="ar-SA"/>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lang w:val="sv-SE" w:eastAsia="en-US" w:bidi="ar-SA"/>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lang w:val="sv-SE" w:eastAsia="en-US" w:bidi="ar-SA"/>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lang w:val="sv-SE" w:eastAsia="en-US" w:bidi="ar-SA"/>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