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14523-2025 i Tierps kommun</w:t>
      </w:r>
    </w:p>
    <w:p>
      <w:r>
        <w:t>Detta dokument behandlar höga naturvärden i avverkningsanmälan A 14523-2025 i Tierps kommun. Denna avverkningsanmälan inkom 2025-03-25 15:30:56 och omfattar 6,4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4 naturvårdsarter hittats: dofttaggsvamp (NT), svartvit taggsvamp (NT), rostfläck (S) och skarp dropptaggsvamp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91202"/>
            <wp:docPr id="1" name="Picture 1"/>
            <wp:cNvGraphicFramePr>
              <a:graphicFrameLocks noChangeAspect="1"/>
            </wp:cNvGraphicFramePr>
            <a:graphic>
              <a:graphicData uri="http://schemas.openxmlformats.org/drawingml/2006/picture">
                <pic:pic>
                  <pic:nvPicPr>
                    <pic:cNvPr id="0" name="A 14523-2025 karta.png"/>
                    <pic:cNvPicPr/>
                  </pic:nvPicPr>
                  <pic:blipFill>
                    <a:blip r:embed="rId16"/>
                    <a:stretch>
                      <a:fillRect/>
                    </a:stretch>
                  </pic:blipFill>
                  <pic:spPr>
                    <a:xfrm>
                      <a:off x="0" y="0"/>
                      <a:ext cx="5486400" cy="55912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6698125, E 621667 i SWEREF 99 TM.</w:t>
      </w:r>
    </w:p>
    <w:p>
      <w:r>
        <w:rPr>
          <w:b/>
        </w:rPr>
        <w:t xml:space="preserve">Dofttaggsvamp (NT) </w:t>
      </w:r>
      <w:r>
        <w:t>bildar mykorrhiza med gran i framför allt äldre ängsgranskog eller örtrik granskog av frisk lågörttyp. Arten hotas huvudsakligen av slutavverkning och den överlever sannolikt inte en avverkning eftersom den är beroende de levande barrträdens rötter. Troligen missgynnas den av allt för hård gallring eller plockhuggning om huggningen inte efterföljs av skogsbete. Fler örtrika barrskogar, särskilt de med trädkontinuitet, måste skyddas i större utsträckning än vad som tidigare gjorts (SLU Artdatabanken, 2024).</w:t>
      </w:r>
    </w:p>
    <w:p>
      <w:r>
        <w:rPr>
          <w:b/>
        </w:rPr>
        <w:t xml:space="preserve">Svartvit taggsvamp (NT) </w:t>
      </w:r>
      <w:r>
        <w:t>bildar mykorrhiza med tall, troligen även med gran. Den växer huvudsakligen i äldre, naturligt uppkommen skog på torr eller frisk mark och förekommer såväl på tallhedar som i mossig barrblandskog. Flera olika former har påträffats vid DNA-undersökningar av europeiskt material och det är oklart hur många former som finns i värd land. Kalavverkning av äldre skog är ett reellt hot, liksom maskinell markberedning och minskad andel självföryngring. Lokaler som fortfarande håller svampen behöver säkerställas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