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2298-2024 i Tierps kommun</w:t>
      </w:r>
    </w:p>
    <w:p>
      <w:r>
        <w:t>Detta dokument behandlar höga naturvärden i avverkningsanmälan A 2298-2024 i Tierps kommun. Denna avverkningsanmälan inkom 2024-01-19 10:34:32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fyrflikig jordstjärna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8731"/>
            <wp:docPr id="1" name="Picture 1"/>
            <wp:cNvGraphicFramePr>
              <a:graphicFrameLocks noChangeAspect="1"/>
            </wp:cNvGraphicFramePr>
            <a:graphic>
              <a:graphicData uri="http://schemas.openxmlformats.org/drawingml/2006/picture">
                <pic:pic>
                  <pic:nvPicPr>
                    <pic:cNvPr id="0" name="A 2298-2024 karta.png"/>
                    <pic:cNvPicPr/>
                  </pic:nvPicPr>
                  <pic:blipFill>
                    <a:blip r:embed="rId16"/>
                    <a:stretch>
                      <a:fillRect/>
                    </a:stretch>
                  </pic:blipFill>
                  <pic:spPr>
                    <a:xfrm>
                      <a:off x="0" y="0"/>
                      <a:ext cx="5486400" cy="5828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6715736, E 662607 i SWEREF 99 TM.</w:t>
      </w:r>
    </w:p>
    <w:p>
      <w:r>
        <w:rPr>
          <w:b/>
        </w:rPr>
        <w:t xml:space="preserve">Fyrflikig jordstjärna (NT) </w:t>
      </w:r>
      <w:r>
        <w:t>är en nedbrytare i löv- eller barrförna i skogsmark på väl dränerade och mer eller mindre kalkrika jordar. Den är främst funnen i örtrika gamla barrskogar, med eller utan lövträdsinslag, där den växer i nakna eller mosstäckta välutvecklade barrmattor, under gran, tall, en och ibland idegran. Artens växtplatser, och även den närliggande skogsmiljön kring växtplatserna, bör undantas från slutavverkning och genomgripande gallringar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