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1834-2026 i Tierps kommun</w:t>
      </w:r>
    </w:p>
    <w:p>
      <w:r>
        <w:t>Detta klagomål behandlar höga naturvärden i samrådsanmälan S 1834-2026 i Tierps kommun som inkom 2026-06-18 och omfattar 0,8 ha.</w:t>
      </w:r>
    </w:p>
    <w:p>
      <w:pPr>
        <w:pStyle w:val="Caption"/>
      </w:pPr>
      <w:r>
        <w:drawing>
          <wp:inline xmlns:a="http://schemas.openxmlformats.org/drawingml/2006/main" xmlns:pic="http://schemas.openxmlformats.org/drawingml/2006/picture">
            <wp:extent cx="5486400" cy="4690778"/>
            <wp:docPr id="1" name="Picture 1"/>
            <wp:cNvGraphicFramePr>
              <a:graphicFrameLocks noChangeAspect="1"/>
            </wp:cNvGraphicFramePr>
            <a:graphic>
              <a:graphicData uri="http://schemas.openxmlformats.org/drawingml/2006/picture">
                <pic:pic>
                  <pic:nvPicPr>
                    <pic:cNvPr id="0" name="S 1834-2026 karta.png"/>
                    <pic:cNvPicPr/>
                  </pic:nvPicPr>
                  <pic:blipFill>
                    <a:blip r:embed="rId16"/>
                    <a:stretch>
                      <a:fillRect/>
                    </a:stretch>
                  </pic:blipFill>
                  <pic:spPr>
                    <a:xfrm>
                      <a:off x="0" y="0"/>
                      <a:ext cx="5486400" cy="4690778"/>
                    </a:xfrm>
                    <a:prstGeom prst="rect"/>
                  </pic:spPr>
                </pic:pic>
              </a:graphicData>
            </a:graphic>
          </wp:inline>
        </w:drawing>
      </w:r>
    </w:p>
    <w:p>
      <w:pPr>
        <w:pStyle w:val="Caption"/>
        <w:spacing w:after="240"/>
      </w:pPr>
      <w:r>
        <w:t>Figur 1. Fyndplatser för naturvårdsarter i och inom 16 meter från samrådsanmälan. Markörer utan svart kant är placerade på fyndplatsen. Markörer med svart kant är placerade vid sidan av fyndplatsen och har ett svart streck som visar fyndplatsens exakta position. Kartans mittpunktskoordinat är N 6709303, E 659489 i SWEREF 99 TM.</w:t>
      </w:r>
    </w:p>
    <w:p>
      <w:r>
        <w:t>I och inom 16 meter från samrådsanmälan finns fynd av 10 naturvårdsarter, varav 5 är rödlistade, 1 är fridlyst, 1 är typisk (T) och 5 är signalarter (S): duvspindling (VU), knärot (VU, T, §8), fjällig taggsvamp s.str. (NT), tjockfotad fingersvamp (NT), äggspindling (NT), anisspindling (S), diskvaxskivling (S), olivspindling (S), rödgul trumpetsvamp (S) och svavelriska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Duvspindling (VU)</w:t>
      </w:r>
      <w:r>
        <w:t xml:space="preserve"> bildar mykorrhiza med tall och förmodligen även gran i torr, kalkrik barrskog. Arten är placerad högst upp i Skogsstyrelsens värdepyramid för bedömning av skog med höga naturvärden och utgör en mycket bra indikator på skyddsvärd kalktallskog av sydöstlig typ. Kalavverkning, markberedning och markavvattning utgör de främsta hoten (SLU Artdatabanken, 2024;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1 fyndplatser för knärot registrerade på Artportalen. Figur 2 visar gränserna för buffertzoner på 50 m, som behöver lämnas kring fyndplatserna för att knärotslokalerna inte ska försvinna vid en avverkning. Av det samrådsanmälda området överlappar 0.33 ha med buffertzonerna och får av detta skäl inte avverkas.</w:t>
      </w:r>
    </w:p>
    <w:p>
      <w:pPr>
        <w:pStyle w:val="Caption"/>
      </w:pPr>
      <w:r>
        <w:drawing>
          <wp:inline xmlns:a="http://schemas.openxmlformats.org/drawingml/2006/main" xmlns:pic="http://schemas.openxmlformats.org/drawingml/2006/picture">
            <wp:extent cx="5486400" cy="4560687"/>
            <wp:docPr id="2" name="Picture 2"/>
            <wp:cNvGraphicFramePr>
              <a:graphicFrameLocks noChangeAspect="1"/>
            </wp:cNvGraphicFramePr>
            <a:graphic>
              <a:graphicData uri="http://schemas.openxmlformats.org/drawingml/2006/picture">
                <pic:pic>
                  <pic:nvPicPr>
                    <pic:cNvPr id="0" name="S 1834-2026 karta knärot.png"/>
                    <pic:cNvPicPr/>
                  </pic:nvPicPr>
                  <pic:blipFill>
                    <a:blip r:embed="rId17"/>
                    <a:stretch>
                      <a:fillRect/>
                    </a:stretch>
                  </pic:blipFill>
                  <pic:spPr>
                    <a:xfrm>
                      <a:off x="0" y="0"/>
                      <a:ext cx="5486400" cy="4560687"/>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6709303, E 659489 i SWEREF 99 TM.</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Tjockfotad fingersvamp (NT) </w:t>
      </w:r>
      <w:r>
        <w:t>bildar mykorrhiza med gran, eventuellt även med tall, i örtrika kalkbarrskogar, samt med bok och ek i ädellövskog på kalkrik mark. Den totala populationen i landet bedöms ha minskat under de senaste 50 åren och förväntas fortsätta minska, främst på grund av slutavverkning av äldre barrskog. Minskningstakten för den svenska populationen bedöms vara nära gränsvärdet för sårbar (VU). Slutavverkning, gödsling eller exploatering måste undvikas (SLU Artdatabanken, 2026).</w:t>
      </w:r>
    </w:p>
    <w:p>
      <w:r>
        <w:rPr>
          <w:b/>
        </w:rPr>
        <w:t xml:space="preserve">Äggspindling (NT) </w:t>
      </w:r>
      <w:r>
        <w:t>bildar mykorrhiza med gran i äldre ängsgranskog på kalkrik mark och kräver sannolikt lång kontinuitet av äldre träd. Arten bedöms ha minskat med mer än 15 % över de senaste 50 åren, p.g.a. slutavverkning av äldre skog och minskningstakten för den svenska populationen bedöms vara nära gränsvärdet för Sårbar (VU). (A2c+3c+4c). På artens växtplatser måste skogsbruk ske med stor försiktighet eftersom de ofta innehåller ett stort antal sällsynta och hotade arter. Lokaler med rika förekomster bör betraktas som nyckelbiotoper och helt undantas från avverkning. Äggspindling är globalt rödlistad som nära hotad (NT) vilket innebär att Sverige har ett internationellt ansvar för arten (SLU Artdatabanken, 2024; Nitare &amp; Skogsstyrelsen, 2019; IUCN, 2019).</w:t>
      </w:r>
    </w:p>
    <w:p>
      <w:r>
        <w:rPr>
          <w:b/>
        </w:rPr>
        <w:t>Olivspindling</w:t>
      </w:r>
      <w:r>
        <w:t xml:space="preserve"> växer uteslutande på näringsrik och kalkhaltig skogsmark där den huvudsakligen bildar mykorrhiza med gran och tall. Svampen är en typisk representant för kalkgranskogens särpräglade och rika svampflora. Kalavverkning är ett hot mot arten, eftersom den sannolikt kräver lång kontinuitet av äldre träd. Populationerna i landet bedöms därför minska beroende på slutavverkning av äldre barrskog på kalkhaltig mark (SLU Artdatabanken, 2024; Nitare &amp; Skogsstyrelsen, 2019).</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10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