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2802-2021 i Tierps kommun</w:t>
      </w:r>
    </w:p>
    <w:p>
      <w:r>
        <w:t>Detta dokument behandlar höga naturvärden i avverkningsanmälan A 2802-2021 i Tierps kommun. Denna avverkningsanmälan inkom 2021-01-19 och omfattar 4,3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10 naturvårdsarter hittats: kopparspindling (VU), puderspindling (NT), äggspindling (NT), anisspindling (S), diskvaxskivling (S), fjällig taggsvamp s.str. (S), kantjordstjärna (S), kryddspindling (S), olivspindling (S) och rödgul trumpetsvamp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06948"/>
            <wp:docPr id="1" name="Picture 1"/>
            <wp:cNvGraphicFramePr>
              <a:graphicFrameLocks noChangeAspect="1"/>
            </wp:cNvGraphicFramePr>
            <a:graphic>
              <a:graphicData uri="http://schemas.openxmlformats.org/drawingml/2006/picture">
                <pic:pic>
                  <pic:nvPicPr>
                    <pic:cNvPr id="0" name="A 2802-2021 karta.png"/>
                    <pic:cNvPicPr/>
                  </pic:nvPicPr>
                  <pic:blipFill>
                    <a:blip r:embed="rId16"/>
                    <a:stretch>
                      <a:fillRect/>
                    </a:stretch>
                  </pic:blipFill>
                  <pic:spPr>
                    <a:xfrm>
                      <a:off x="0" y="0"/>
                      <a:ext cx="5486400" cy="49069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6709009, E 659259 i SWEREF 99 TM.</w:t>
      </w:r>
    </w:p>
    <w:p>
      <w:r>
        <w:rPr>
          <w:b/>
        </w:rPr>
        <w:t xml:space="preserve">Kopparspindling (VU) </w:t>
      </w:r>
      <w:r>
        <w:t>bildar mykorrhiza med tall och gran i äldre ängsgranskog på kalkrik mark, mer sällan i ren kalktallskog.</w:t>
      </w:r>
      <w:r>
        <w:rPr>
          <w:b/>
        </w:rPr>
        <w:t xml:space="preserve"> </w:t>
      </w:r>
      <w:r>
        <w:t>Minskningstakten uppgår till 30 % inom 50 år och överstiger gränsvärdet för Sårbar (VU) enligt A-kriteriet. (A2c+3c+4c).</w:t>
      </w:r>
      <w:r>
        <w:rPr>
          <w:b/>
        </w:rPr>
        <w:t xml:space="preserve"> </w:t>
      </w:r>
      <w:r>
        <w:t>Intensivt skogsbruk, särskilt kalavverkning och markberedning missgynnar arten och lokaler som även hyser ett stort antal andra hotade arter bör helt undantas från skogsbruk.</w:t>
      </w:r>
      <w:r>
        <w:rPr>
          <w:b/>
        </w:rPr>
        <w:t xml:space="preserve"> </w:t>
      </w:r>
      <w:r>
        <w:t>Kopparspindling är globalt rödlistad som nära hotad (NT) vilket innebär att Sverige har ett internationellt ansvar för arten (SLU Artdatabanken, 2024; IUCN, 2015).</w:t>
      </w:r>
    </w:p>
    <w:p>
      <w:r>
        <w:rPr>
          <w:b/>
        </w:rPr>
        <w:t>Olivspindling</w:t>
      </w:r>
      <w:r>
        <w:t xml:space="preserve"> växer uteslutande på näringsrik och kalkhaltig skogsmark där den huvudsakligen bildar mykorrhiza med gran och tall. Svampen är en typisk representant för kalkgranskogens särpräglade och rika svampflora. Kalavverkning är ett hot mot arten, eftersom den sannolikt kräver lång kontinuitet av äldre träd. Populationerna i landet bedöms därför minska beroende på slutavverkning av äldre barrskog på kalkhaltig mark (SLU Artdatabanken, 2024; Nitare &amp; Skogsstyrelsen, 2019).</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 xml:space="preserve">Äggspindling (NT) </w:t>
      </w:r>
      <w:r>
        <w:t>bildar mykorrhiza med gran i äldre ängsgranskog på kalkrik mark och kräver sannolikt lång kontinuitet av äldre träd. Arten bedöms ha minskat med mer än 15 % över de senaste 50 åren, p.g.a. slutavverkning av äldre skog och minskningstakten för den svenska populationen bedöms vara nära gränsvärdet för Sårbar (VU). (A2c+3c+4c). På artens växtplatser måste skogsbruk ske med stor försiktighet eftersom de ofta innehåller ett stort antal sällsynta och hotade arter. Lokaler med rika förekomster bör betraktas som nyckelbiotoper och helt undantas från avverkning. Äggspindling är globalt rödlistad som nära hotad (NT) vilket innebär att Sverige har ett internationellt ansvar för arten (SLU Artdatabanken, 2024; Nitare &amp; Skogsstyrelsen, 2019; IUCN,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