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42231-2024 i Tierps kommun</w:t>
      </w:r>
    </w:p>
    <w:p>
      <w:r>
        <w:t>Detta dokument behandlar höga naturvärden i avverkningsanmälan A 42231-2024 i Tierps kommun. Denna avverkningsanmälan inkom 2024-09-27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väddnätfjäril (VU, §6), slåtterfibbla (NT), guckusko (S, §7), nästrot (S, §8), tibast (S), underviol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4227"/>
            <wp:docPr id="1" name="Picture 1"/>
            <wp:cNvGraphicFramePr>
              <a:graphicFrameLocks noChangeAspect="1"/>
            </wp:cNvGraphicFramePr>
            <a:graphic>
              <a:graphicData uri="http://schemas.openxmlformats.org/drawingml/2006/picture">
                <pic:pic>
                  <pic:nvPicPr>
                    <pic:cNvPr id="0" name="A 42231-2024 karta.png"/>
                    <pic:cNvPicPr/>
                  </pic:nvPicPr>
                  <pic:blipFill>
                    <a:blip r:embed="rId16"/>
                    <a:stretch>
                      <a:fillRect/>
                    </a:stretch>
                  </pic:blipFill>
                  <pic:spPr>
                    <a:xfrm>
                      <a:off x="0" y="0"/>
                      <a:ext cx="5486400" cy="674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6714771, E 637710 i SWEREF 99 TM.</w:t>
      </w:r>
    </w:p>
    <w:p>
      <w:pPr>
        <w:pStyle w:val="Heading1"/>
      </w:pPr>
      <w:r>
        <w:t>Fridlysta arter</w:t>
      </w:r>
    </w:p>
    <w:p>
      <w:r>
        <w:t>Följande fridlysta arter har sina livsmiljöer och växtplatser i den avverkningsanmälda skogen: väddnätfjäril (VU, §6), guckusko (S, §7), nästrot (S, §8) och revlummer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