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40403-2026 i Tierps kommun</w:t>
      </w:r>
    </w:p>
    <w:p>
      <w:r>
        <w:t>Detta klagomål behandlar höga naturvärden i avverkningsanmälan A 40403-2026 i Tierps kommun som inkom 2026-09-29 och omfattar 10,0 ha.</w:t>
      </w:r>
    </w:p>
    <w:p>
      <w:pPr>
        <w:pStyle w:val="Caption"/>
      </w:pPr>
      <w:r>
        <w:drawing>
          <wp:inline xmlns:a="http://schemas.openxmlformats.org/drawingml/2006/main" xmlns:pic="http://schemas.openxmlformats.org/drawingml/2006/picture">
            <wp:extent cx="5188973" cy="5724000"/>
            <wp:docPr id="1" name="Picture 1"/>
            <wp:cNvGraphicFramePr>
              <a:graphicFrameLocks noChangeAspect="1"/>
            </wp:cNvGraphicFramePr>
            <a:graphic>
              <a:graphicData uri="http://schemas.openxmlformats.org/drawingml/2006/picture">
                <pic:pic>
                  <pic:nvPicPr>
                    <pic:cNvPr id="0" name="A 40403-2026 karta.png"/>
                    <pic:cNvPicPr/>
                  </pic:nvPicPr>
                  <pic:blipFill>
                    <a:blip r:embed="rId16"/>
                    <a:stretch>
                      <a:fillRect/>
                    </a:stretch>
                  </pic:blipFill>
                  <pic:spPr>
                    <a:xfrm>
                      <a:off x="0" y="0"/>
                      <a:ext cx="5188973"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6670408, E 650022 i SWEREF 99 TM.</w:t>
      </w:r>
    </w:p>
    <w:p>
      <w:r>
        <w:t>I och inom 24 meter från avverkningsanmälan finns fynd av 12 naturvårdsarter, varav 6 är rödlistade, 7 är fridlysta, 6 är typiska (T) och 1 är signalart (S): bredbrämad bastardsvärmare (VU), månlåsbräken (NT), nötkråka (NT, T, §4), skogshare (NT), talltita (NT, §4), vårärt (NT, T), tibast (S, T), blåsippa (T, §9), järpe (T, §4), tjäder (T, §4), kungsfågel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