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5967-2023 i Tierps kommun</w:t>
      </w:r>
    </w:p>
    <w:p>
      <w:r>
        <w:t>Detta klagomål behandlar höga naturvärden i avverkningsanmälan A 5967-2023 i Tierps kommun som inkom 2023-02-07 och omfattar 2,1 ha.</w:t>
      </w:r>
    </w:p>
    <w:p>
      <w:pPr>
        <w:pStyle w:val="Caption"/>
      </w:pPr>
      <w:r>
        <w:drawing>
          <wp:inline xmlns:a="http://schemas.openxmlformats.org/drawingml/2006/main" xmlns:pic="http://schemas.openxmlformats.org/drawingml/2006/picture">
            <wp:extent cx="5486400" cy="4394776"/>
            <wp:docPr id="1" name="Picture 1"/>
            <wp:cNvGraphicFramePr>
              <a:graphicFrameLocks noChangeAspect="1"/>
            </wp:cNvGraphicFramePr>
            <a:graphic>
              <a:graphicData uri="http://schemas.openxmlformats.org/drawingml/2006/picture">
                <pic:pic>
                  <pic:nvPicPr>
                    <pic:cNvPr id="0" name="A 5967-2023 karta.png"/>
                    <pic:cNvPicPr/>
                  </pic:nvPicPr>
                  <pic:blipFill>
                    <a:blip r:embed="rId16"/>
                    <a:stretch>
                      <a:fillRect/>
                    </a:stretch>
                  </pic:blipFill>
                  <pic:spPr>
                    <a:xfrm>
                      <a:off x="0" y="0"/>
                      <a:ext cx="5486400" cy="4394776"/>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6713799, E 649958 i SWEREF 99 TM.</w:t>
      </w:r>
    </w:p>
    <w:p>
      <w:r>
        <w:t>Inom 25 meter från avverkningsanmälan finns fynd av 7 naturvårdsarter, varav 4 är rödlistade, 2 är typiska (T) och 3 är signalarter (S): lilaköttig taggsvamp (EN), ruttaggsvamp (EN), dropptaggsvamp (NT, T), svartvit taggsvamp (NT), brandmusseron (S), rödgul trumpetsvamp (S) och trådticka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Lilaköttig taggsvamp (EN) </w:t>
      </w:r>
      <w:r>
        <w:t>är en mycket sällsynt och krävande ”toppart” knuten till tall på starkt kalkrik mark. Den är rödlistad som starkt hotad och ingår i ett åtgärdsprogram för hotade arter (ÅGP). Kända växtplatser måste skyddas och fler äldre barrskogspartier på kalkrik mark måste undantas från storskaligt skogsbruk. Arten är placerad högst upp i Skogsstyrelsens värdepyramid för bedömning av skog med höga naturvärden och globalt rödlistad som sårbar (VU) vilket innebär att Sverige har ett internationellt ansvar för arten (IUCN, 2025; SLU Artdatabanken, 2024; Nitare &amp; Skogsstyrelsen, 2019).</w:t>
      </w:r>
    </w:p>
    <w:p>
      <w:r>
        <w:rPr>
          <w:b/>
        </w:rPr>
        <w:t xml:space="preserve">Ruttaggsvamp (EN) </w:t>
      </w:r>
      <w:r>
        <w:t>är en sällsynt och starkt hotad mykorrhizasvamp knuten till tall på kalkrik mark. Arten är placerad högst upp i Skogsstyrelsens värdepyramid för bedömning av skog med höga naturvärden och tål inte en slutavverkning utan kräver ett kontinuerligt trädskikt med tall. Skogsområden med arten bör skyddas och undantas rationellt skogsbruk. Slutavverkning, kraftig gallring och skogsmarksgödsling måste helt undvikas. Ruttaggsvamp är globalt rödlistad som sårbar (VU) vilket innebär att Sverige har ett internationellt ansvar för arten (IUCN, 2025;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