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28450-2021 i Uppsala kommun</w:t>
      </w:r>
    </w:p>
    <w:p>
      <w:r>
        <w:t>Detta dokument behandlar höga naturvärden i avverkningsanmälan A 28450-2021 i Uppsala kommun. Denna avverkningsanmälan inkom 2021-06-09 00:00:00 och omfattar 11,8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platt spretmossa (NT), vedtrappmossa (NT), bågpraktmossa (S), korallrot (S, §8), källpraktmossa (S), rödgul trumpetsvamp (S), stubbspretmossa (S), vanlig rörsvepemossa (S) och ögonpyrola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07571"/>
            <wp:docPr id="1" name="Picture 1"/>
            <wp:cNvGraphicFramePr>
              <a:graphicFrameLocks noChangeAspect="1"/>
            </wp:cNvGraphicFramePr>
            <a:graphic>
              <a:graphicData uri="http://schemas.openxmlformats.org/drawingml/2006/picture">
                <pic:pic>
                  <pic:nvPicPr>
                    <pic:cNvPr id="0" name="A 28450-2021 karta.png"/>
                    <pic:cNvPicPr/>
                  </pic:nvPicPr>
                  <pic:blipFill>
                    <a:blip r:embed="rId16"/>
                    <a:stretch>
                      <a:fillRect/>
                    </a:stretch>
                  </pic:blipFill>
                  <pic:spPr>
                    <a:xfrm>
                      <a:off x="0" y="0"/>
                      <a:ext cx="5486400" cy="43075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6645223, E 629420 i SWEREF 99 TM.</w:t>
      </w:r>
    </w:p>
    <w:p>
      <w:r>
        <w:rPr>
          <w:b/>
        </w:rPr>
        <w:t xml:space="preserve">Bågpraktmossa </w:t>
      </w:r>
      <w:r>
        <w:t>växer i skuggiga och våta skogsmiljöer, bland annat i bäckdalar, alsumpskogar, strandskogar och örtrika gransumpskogar. Den är i hela sitt utbredningsområde en bra signalart för gransumpskogar som ofta hyser andra, mer ovanliga och rödlistade arter. Bågpraktmossa indikerar skogsmark som har ostörd hydrologi och kalkfattig mark (Nitare &amp; Skogsstyrelsen, 2019).</w:t>
      </w:r>
    </w:p>
    <w:p>
      <w:r>
        <w:rPr>
          <w:b/>
        </w:rPr>
        <w:t>Platt spretmossa (NT)</w:t>
      </w:r>
      <w:r>
        <w:t xml:space="preserve"> omfattas av EU:s art- och habitatdirektiv där dess bevarandestatus är otillfredsställande med negativ trend. Arten växer på murken ved eller på torvrik jord på fuktiga eller mycket fuktiga och skuggiga platser, ofta i al- och gransumpskogar med periodvis översvämning, eller utmed vattendrag. Den hotas av uthuggning, torrläggning och avverkning av sumpskogar. Platt spretmossa är rödlistad som nära hotad (NT) i den europeiska rödlistan (SLU Artdatabanken, 2024; IUCN,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Stubbspretmossa</w:t>
      </w:r>
      <w:r>
        <w:t xml:space="preserve"> växer på ved i rika löv- och barrskogar med relativt hög luftfuktighet och indikerar fuktiga skogsmiljöer med gott om murken ved och ofta höga naturvärden (SLU Artdatabanken, 2024).</w:t>
      </w:r>
    </w:p>
    <w:p>
      <w:r>
        <w:rPr>
          <w:b/>
        </w:rPr>
        <w:t xml:space="preserve">Vanlig rörsvepemossa </w:t>
      </w:r>
      <w:r>
        <w:t>signalerar överallt skog med höga naturvärden och indikerar bestånd som haft kontinuerligt god tillgång på murken ved, konstant hög luftfuktighet och beskuggad näringsrik mark. Där den växer finns oftast en rad andra rödlistade och skyddsvärda mossor. Arten är känslig för större avverkningar men tål ofta plockhuggning som bevarar ett tätare trädskikt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 xml:space="preserve">Ögonpyrola </w:t>
      </w:r>
      <w:r>
        <w:t>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(Nitare &amp; Skogsstyrelsen, 2019).</w:t>
      </w:r>
    </w:p>
    <w:p>
      <w:pPr>
        <w:pStyle w:val="Heading1"/>
      </w:pPr>
      <w:r>
        <w:t>Fridlysta arter</w:t>
      </w:r>
    </w:p>
    <w:p>
      <w:r>
        <w:t>Följande fridlysta arter har sina livsmiljöer och växtplatser i den avverkningsanmälda skogen: korallrot (S, §8).</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0.44 ha med buffertzonerna och får av detta skäl inte avverkas.</w:t>
      </w:r>
    </w:p>
    <w:p>
      <w:pPr>
        <w:pStyle w:val="Caption"/>
      </w:pPr>
      <w:r>
        <w:drawing>
          <wp:inline xmlns:a="http://schemas.openxmlformats.org/drawingml/2006/main" xmlns:pic="http://schemas.openxmlformats.org/drawingml/2006/picture">
            <wp:extent cx="5486400" cy="5211266"/>
            <wp:docPr id="2" name="Picture 2"/>
            <wp:cNvGraphicFramePr>
              <a:graphicFrameLocks noChangeAspect="1"/>
            </wp:cNvGraphicFramePr>
            <a:graphic>
              <a:graphicData uri="http://schemas.openxmlformats.org/drawingml/2006/picture">
                <pic:pic>
                  <pic:nvPicPr>
                    <pic:cNvPr id="0" name="A 28450-2021 karta knärot.png"/>
                    <pic:cNvPicPr/>
                  </pic:nvPicPr>
                  <pic:blipFill>
                    <a:blip r:embed="rId17"/>
                    <a:stretch>
                      <a:fillRect/>
                    </a:stretch>
                  </pic:blipFill>
                  <pic:spPr>
                    <a:xfrm>
                      <a:off x="0" y="0"/>
                      <a:ext cx="5486400" cy="52112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6645223, E 629420 i SWEREF 99 TM.</w:t>
      </w:r>
    </w:p>
    <w:p>
      <w:pPr>
        <w:pStyle w:val="Caption"/>
      </w:pP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