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27257-2025 i Uppsala kommun</w:t>
      </w:r>
    </w:p>
    <w:p>
      <w:r>
        <w:t>Detta dokument behandlar höga naturvärden i avverkningsanmälan A 27257-2025 i Uppsala kommun. Denna avverkningsanmälan inkom 2025-06-04 och omfattar 4,2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ask (EN), ädellav (EN), laxporing (VU), ostticka (VU), garnlav (NT), gransotdyna (NT), lunglav (NT), spillkråka (NT, §4), talltita (NT, §4), ullticka (NT), vedtrappmossa (NT), dunmossa (S), granbarkgnagare (S), granbräken (S), grön sköldmossa (S, §8), havstulpanlav (S), kattfotslav (S), korallblylav (S), lönnlav (S), rostfläck (S), spädstarr (S), stubbspretmossa (S), tibast (S), vedticka (S), åkergroda (§4a) och vanlig snok (§6).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7870"/>
            <wp:docPr id="1" name="Picture 1"/>
            <wp:cNvGraphicFramePr>
              <a:graphicFrameLocks noChangeAspect="1"/>
            </wp:cNvGraphicFramePr>
            <a:graphic>
              <a:graphicData uri="http://schemas.openxmlformats.org/drawingml/2006/picture">
                <pic:pic>
                  <pic:nvPicPr>
                    <pic:cNvPr id="0" name="A 27257-2025 karta.png"/>
                    <pic:cNvPicPr/>
                  </pic:nvPicPr>
                  <pic:blipFill>
                    <a:blip r:embed="rId16"/>
                    <a:stretch>
                      <a:fillRect/>
                    </a:stretch>
                  </pic:blipFill>
                  <pic:spPr>
                    <a:xfrm>
                      <a:off x="0" y="0"/>
                      <a:ext cx="5486400" cy="563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6665631, E 630106 i SWEREF 99 TM.</w:t>
      </w:r>
    </w:p>
    <w:p>
      <w:r>
        <w:rPr>
          <w:b/>
        </w:rPr>
        <w:t>Dunmossa</w:t>
      </w:r>
      <w:r>
        <w:t xml:space="preserve"> är en mycket bra signalart på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 xml:space="preserve">Ädellav (EN) </w:t>
      </w:r>
      <w:r>
        <w:t>är en starkt hotad lav som 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(SLU Artdatabanken, 2024; Nitare &amp; Skogsstyrelsen, 2019).</w:t>
      </w:r>
    </w:p>
    <w:p>
      <w:pPr>
        <w:pStyle w:val="Heading1"/>
      </w:pPr>
      <w:r>
        <w:t>Fridlysta arter</w:t>
      </w:r>
    </w:p>
    <w:p>
      <w:r>
        <w:t>Följande fridlysta arter har sina livsmiljöer och växtplatser i den avverkningsanmälda skogen: spillkråka (NT, §4), talltita (NT, §4), grön sköldmossa (S, §8), åkergroda (§4a)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