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41955-2026 i Uppsala kommun</w:t>
      </w:r>
    </w:p>
    <w:p>
      <w:r>
        <w:t>Detta klagomål behandlar höga naturvärden i avverkningsanmälan A 41955-2026 i Uppsala kommun som inkom 2026-10-08 och omfattar 1,8 ha.</w:t>
      </w:r>
    </w:p>
    <w:p>
      <w:pPr>
        <w:pStyle w:val="Caption"/>
      </w:pPr>
      <w:r>
        <w:drawing>
          <wp:inline xmlns:a="http://schemas.openxmlformats.org/drawingml/2006/main" xmlns:pic="http://schemas.openxmlformats.org/drawingml/2006/picture">
            <wp:extent cx="5486400" cy="4687441"/>
            <wp:docPr id="1" name="Picture 1"/>
            <wp:cNvGraphicFramePr>
              <a:graphicFrameLocks noChangeAspect="1"/>
            </wp:cNvGraphicFramePr>
            <a:graphic>
              <a:graphicData uri="http://schemas.openxmlformats.org/drawingml/2006/picture">
                <pic:pic>
                  <pic:nvPicPr>
                    <pic:cNvPr id="0" name="A 41955-2026 karta.png"/>
                    <pic:cNvPicPr/>
                  </pic:nvPicPr>
                  <pic:blipFill>
                    <a:blip r:embed="rId16"/>
                    <a:stretch>
                      <a:fillRect/>
                    </a:stretch>
                  </pic:blipFill>
                  <pic:spPr>
                    <a:xfrm>
                      <a:off x="0" y="0"/>
                      <a:ext cx="5486400" cy="4687441"/>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6649565, E 627489 i SWEREF 99 TM.</w:t>
      </w:r>
    </w:p>
    <w:p>
      <w:r>
        <w:t>I och inom 15 meter från avverkningsanmälan finns fynd av 17 naturvårdsarter, varav 9 är rödlistade, 3 är fridlysta, 11 är typiska (T) och 6 är signalarter (S): knärot (VU, T, §8), kolflarnlav (NT, T), kötticka (NT), rosenfingersvamp (NT), rutskinn (NT, T), rynkskinn (NT, T), smalvingad blombock (NT), ullticka (NT, T), vedtrappmossa (NT, T), björksplintborre (S), bronshjon (S, T), fällmossa (S, T), jättesvampmal (S), kantarellvaxing (S), vedticka (S, T), spillkråka (T,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11 fyndplatser för knärot registrerade på Artportalen. Figur 2 visar gränserna för buffertzoner på 50 m, som behöver lämnas kring fyndplatserna för att knärotslokalerna inte ska försvinna vid en avverkning. Av det avverkningsanmälda området överlappar 1.27 ha med buffertzonerna och får av detta skäl inte avverkas.</w:t>
      </w:r>
    </w:p>
    <w:p>
      <w:pPr>
        <w:pStyle w:val="Caption"/>
      </w:pPr>
      <w:r>
        <w:drawing>
          <wp:inline xmlns:a="http://schemas.openxmlformats.org/drawingml/2006/main" xmlns:pic="http://schemas.openxmlformats.org/drawingml/2006/picture">
            <wp:extent cx="5486400" cy="5975084"/>
            <wp:docPr id="2" name="Picture 2"/>
            <wp:cNvGraphicFramePr>
              <a:graphicFrameLocks noChangeAspect="1"/>
            </wp:cNvGraphicFramePr>
            <a:graphic>
              <a:graphicData uri="http://schemas.openxmlformats.org/drawingml/2006/picture">
                <pic:pic>
                  <pic:nvPicPr>
                    <pic:cNvPr id="0" name="A 41955-2026 karta knärot.png"/>
                    <pic:cNvPicPr/>
                  </pic:nvPicPr>
                  <pic:blipFill>
                    <a:blip r:embed="rId17"/>
                    <a:stretch>
                      <a:fillRect/>
                    </a:stretch>
                  </pic:blipFill>
                  <pic:spPr>
                    <a:xfrm>
                      <a:off x="0" y="0"/>
                      <a:ext cx="5486400" cy="597508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6649565, E 627489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 xml:space="preserve">Rosenfingersvamp (NT) </w:t>
      </w:r>
      <w:r>
        <w:t>växer på kalkhaltig, gärna sandig gräsmark. Några växtplatser är längs vägkanter med lågvuxen vegetation och stort inslag av mossor. Arten förekommer även i rik löv- och blandskog. Förekomster i skogsmiljö bör undantas från storskaligt skogsbruk (SLU Artdatabanken, 2024).</w:t>
      </w:r>
    </w:p>
    <w:p>
      <w:r>
        <w:rPr>
          <w:b/>
        </w:rPr>
        <w:t>Rutskinn (NT)</w:t>
      </w:r>
      <w:r>
        <w:t xml:space="preserve"> är en relativt sällsynt art som växer främst på gammal grov ek och nedfallna grenar av ek, framför allt i ekhagar, men ibland även i mera sluten ädellöv- och blandskog. För att gynna arten måste hagmarker och ädellövskog med grova ekar skyddas och skötas så att en olikåldrig struktur gynnas och de gamla träden får ersättare när de dör. Rutskinn är typisk art för </w:t>
      </w:r>
      <w:r>
        <w:rPr>
          <w:i/>
        </w:rPr>
        <w:t xml:space="preserve">9020 Nordlig ädellövskog, 9160 Näringsrik ekskog </w:t>
      </w:r>
      <w:r>
        <w:t>och</w:t>
      </w:r>
      <w:r>
        <w:rPr>
          <w:i/>
        </w:rPr>
        <w:t xml:space="preserve"> 9190 Näringsfattig ekskog</w:t>
      </w:r>
      <w:r>
        <w:t xml:space="preserve"> (SLU Artdatabanken, 2024; Nitare &amp; Skogsstyrelsen, 2019).</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 xml:space="preserve">Smalvingad blombock (NT) </w:t>
      </w:r>
      <w:r>
        <w:t>är en långhorning vars larvutveckling sker i ganska torr, vitrötad ved i grenar och klenare stammar eller stubbar av lövträd, även i t.ex. stängselpålar. I Sverige har ek angetts som huvudsakligt värdträd, i Centraleuropa utnyttjas björk, al, ek, hassel, skogskornell, alm mm. Åtminstone i Uppland finns flera fynd efter år 2000 i barrskogstrakter som är fattiga på ek. Främsta hotet är brist på lämplig ved. Det kan bero på avverkning av lövskog, uttag av lövträdsved som biobränsle och att lövrika biotoper som exempelvis gamla hagmarker omvandlas till granplanteringar. Bevara lövrika biotoper i både skogstrakter och odlingslandskap, främst vad gäller ek. Undvik uttag av ekved som biobränsle, och låt veden istället ligga kvar. Äldre lövskogar som växer igen med gran kan gärna gallras selektivt på yngre gran. Blomrika småbiotoper och bryn bör alltid bevaras för att gynna insektslivet (SLU Artdatabanken, 2025).</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17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