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9401-2025 i Uppsala kommun</w:t>
      </w:r>
    </w:p>
    <w:p>
      <w:r>
        <w:t>Detta klagomål behandlar höga naturvärden i avverkningsanmälan A 9401-2025 i Uppsala kommun som inkom 2025-02-27 och omfattar 3,1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9401-2025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6629164, E 645398 i SWEREF 99 TM.</w:t>
      </w:r>
    </w:p>
    <w:p>
      <w:r>
        <w:t>I och inom 25 meter från avverkningsanmälan finns fynd av 11 naturvårdsarter, varav 5 är rödlistade, 8 är fridlysta, 3 är typiska (T) och 2 är signalarter (S): stare (VU, §4), enkelbeckasin (NT, §4), gråhakedopping (NT, §4), grönsångare (NT, §4), matt pricklav (NT), blodticka (S, T), svart trolldruva (S, T), blåsippa (T, §9), gröngöling (§4), kråka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Matt pricklav (NT)</w:t>
      </w:r>
      <w:r>
        <w:t xml:space="preserve"> växer framför allt på grov och hård bark av gamla jätteekar och förekommer enbart på gamla träd inom områden med jätteträd. Lokalerna bör skyddas. Det finns två sällsynta lavparasiter som är knutna till matt pricklav. Pricklavstofs (DD) som växer på den matta pricklavens bål samt lavsammetsmögel (DD) som i stället växer på apothecierna av den matta pricklaven (SLU Artdatabanken, 2026;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