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30443-2025 i Uppsala kommun</w:t>
      </w:r>
    </w:p>
    <w:p>
      <w:r>
        <w:t>Denna tillsynsbegäran behandlar höga naturvärden i avverkningsanmälan A 30443-2025 i Uppsala kommun som inkom 2025-06-19 och omfattar 10,4 ha.</w:t>
      </w:r>
    </w:p>
    <w:p>
      <w:pPr>
        <w:pStyle w:val="Caption"/>
      </w:pPr>
      <w:r>
        <w:drawing>
          <wp:inline xmlns:a="http://schemas.openxmlformats.org/drawingml/2006/main" xmlns:pic="http://schemas.openxmlformats.org/drawingml/2006/picture">
            <wp:extent cx="5366004" cy="5724000"/>
            <wp:docPr id="1" name="Picture 1"/>
            <wp:cNvGraphicFramePr>
              <a:graphicFrameLocks noChangeAspect="1"/>
            </wp:cNvGraphicFramePr>
            <a:graphic>
              <a:graphicData uri="http://schemas.openxmlformats.org/drawingml/2006/picture">
                <pic:pic>
                  <pic:nvPicPr>
                    <pic:cNvPr id="0" name="A 30443-2025 karta.png"/>
                    <pic:cNvPicPr/>
                  </pic:nvPicPr>
                  <pic:blipFill>
                    <a:blip r:embed="rId16"/>
                    <a:stretch>
                      <a:fillRect/>
                    </a:stretch>
                  </pic:blipFill>
                  <pic:spPr>
                    <a:xfrm>
                      <a:off x="0" y="0"/>
                      <a:ext cx="5366004"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6657990, E 691426 i SWEREF 99 TM.</w:t>
      </w:r>
    </w:p>
    <w:p>
      <w:r>
        <w:t>I och inom 25 meter från avverkningsanmälan finns fynd av 28 naturvårdsarter, varav 13 är rödlistade, 5 är fridlysta, 18 är typiska (T) och 12 är signalarter (S): brödtaggsvamp (EN), grangråticka (VU, T), gränsticka (VU, T), gul taggsvamp (VU, T), knärot (VU, T, §8), läderdoftande fingersvamp (VU), ulltickeporing (VU), dofttaggsvamp (NT, T), gultoppig fingersvamp (NT), orange taggsvamp (NT, T), stor sotdyna (NT), sårläka (NT, T), ullticka (NT, T), björksplintborre (S), brandticka (S), bronshjon (S, T), granbarkgnagare (S, T), grön sköldmossa (S, T, §8), grönpyrola (S, T), guldkremla (S), korallblylav (S, T), springkorn (S, T), stubbspretmossa (S, T), vedticka (S, T), vågbandad barkbock (S), blåsippa (T, §9),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Brödtaggsvamp (EN) </w:t>
      </w:r>
      <w:r>
        <w:t>är en sällsynt och starkt hotad ”toppart” som växer i äldre barrskogar med gran, gärna i fuktiga sänkor eller skogar med hög luftfuktighet.  Svampen har en säregen doft som liknats vid lakrits, kakor eller pomerans. Den ingår i ett åtgärdsprogram för hotade arter (ÅGP) och är placerad högst upp i Skogsstyrelsens värdepyramid för bedömning av skog med höga naturvärden. Arten tål inte en slutavverkning utan kräver ett kontinuerligt äldre trädskikt med gran. Äldre barrskogar med basisk påverkan och lång kontinuitet, även små områden, har ett mycket högt skyddsvärde och bör i största möjliga utsträckning undantas från trakthyggesbruk. Slutavverkning, kraftig gallring och skogsmarksgödsling måste helt undvikas, liksom körning med tunga maskiner. Lokalerna bör bevakas, följas upp och skyddas formellt. Brödtaggsvamp är globalt rödlistad som nära hotad (NT) vilket innebär att Sverige har ett internationellt ansvar för arten (IUCN, 2025; SLU Artdatabanken, 2026; Nitare &amp; Skogsstyrelsen, 2019).</w:t>
      </w:r>
    </w:p>
    <w:p>
      <w:r>
        <w:rPr>
          <w:b/>
        </w:rPr>
        <w:t>Grangråticka (VU)</w:t>
      </w:r>
      <w:r>
        <w:t xml:space="preserve"> bildar mykorrhiza med gran och påträffas på kalkrik mark i örtrika granskogar med t.ex. blåsippa, harsyra och ekorrbär i fältskiktet. Arten är beroende av långvarig kontinuitet av äldre gran och tål ingen slutavverkning (kalhuggning). Lokaler med grangråticka är alltid skyddsvärda och bör skötas med stor varsamhet. Grangråticka är typisk art för </w:t>
      </w:r>
      <w:r>
        <w:rPr>
          <w:i/>
        </w:rPr>
        <w:t>9050 Näringsrik granskog</w:t>
      </w:r>
      <w:r>
        <w:t xml:space="preserve"> (SLU Artdatabanken, 2024; Nitare &amp; Skogsstyrelsen, 2019).</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Gul taggsvamp (VU) </w:t>
      </w:r>
      <w:r>
        <w:t xml:space="preserve">bildar mykorrhiza med gran i äldre barrskog med lång kontinuitet. Förekommer på kalkrik eller annan basiskt påverkad mark, ofta i källpåverkade miljöer. Den totala populationen i landet har minskat kraftigt och bedöms fortsätta minska till följd av avverkning av äldre barrskog med lång trädkontinuitet. Minskningstakten överstiger gränsvärdet för sårbar (VU). Arten tål inte en slutavverkning utan kräver ett kontinuerligt äldre trädskikt med gran. Slutavverkning, kraftig gallring och skogsmarksgödsling måste helt undvikas och lokalerna bör skyddas formellt. Gul taggsvamp är typisk art för </w:t>
      </w:r>
      <w:r>
        <w:rPr>
          <w:i/>
        </w:rPr>
        <w:t>9050 Näringsrik granskog</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12 fyndplatser för knärot registrerade på Artportalen. Figur 2 visar gränserna för buffertzoner på 50 m, som behöver lämnas kring fyndplatserna för att knärotslokalerna inte ska försvinna vid en avverkning. Av det avverkningsanmälda området överlappar 3.21 ha med buffertzonerna och får av detta skäl inte avverkas.</w:t>
      </w:r>
    </w:p>
    <w:p>
      <w:pPr>
        <w:pStyle w:val="Caption"/>
      </w:pPr>
      <w:r>
        <w:drawing>
          <wp:inline xmlns:a="http://schemas.openxmlformats.org/drawingml/2006/main" xmlns:pic="http://schemas.openxmlformats.org/drawingml/2006/picture">
            <wp:extent cx="5486400" cy="8510354"/>
            <wp:docPr id="2" name="Picture 2"/>
            <wp:cNvGraphicFramePr>
              <a:graphicFrameLocks noChangeAspect="1"/>
            </wp:cNvGraphicFramePr>
            <a:graphic>
              <a:graphicData uri="http://schemas.openxmlformats.org/drawingml/2006/picture">
                <pic:pic>
                  <pic:nvPicPr>
                    <pic:cNvPr id="0" name="A 30443-2025 karta knärot.png"/>
                    <pic:cNvPicPr/>
                  </pic:nvPicPr>
                  <pic:blipFill>
                    <a:blip r:embed="rId17"/>
                    <a:stretch>
                      <a:fillRect/>
                    </a:stretch>
                  </pic:blipFill>
                  <pic:spPr>
                    <a:xfrm>
                      <a:off x="0" y="0"/>
                      <a:ext cx="5486400" cy="851035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6657990, E 691426 i SWEREF 99 TM.</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Stor sotdyna (NT)</w:t>
      </w:r>
      <w:r>
        <w:t xml:space="preserve"> är en vednedbrytare som växer på gamla, döda, stående eller fallna, ännu barkförsedda stammar av klibbal där de svarta stromata bryter fram under bark eller ur ved. Arten missgynnas av att olikåldriga bestånd av äldre klibbal med lång kontinuitet blir alltmer sällsynta. En slutavverkning, skoglig gallring eller annat uttag av virke som ger ett förändrat lokalklimat på växtplatsen innebär ett direkt hot. Även minskad tillgång på lämpliga substrat, d.v.s. murknande lövved, är ett hot. Skogliga åtgärder som innebär att lågor och döda eller skadade träd tas bort missgynnar arten (SLU Artdatabanken, 2024).</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Grön sköldmossa (§8)</w:t>
      </w:r>
      <w:r>
        <w:t xml:space="preserve"> är typisk art för </w:t>
      </w:r>
      <w:r>
        <w:rPr>
          <w:i/>
        </w:rPr>
        <w:t xml:space="preserve">9010 Taiga </w:t>
      </w:r>
      <w:r>
        <w:t>och</w:t>
      </w:r>
      <w:r>
        <w:rPr>
          <w:i/>
        </w:rPr>
        <w:t xml:space="preserve"> 9750 Svämlövskog</w:t>
      </w:r>
      <w:r>
        <w:t xml:space="preserve"> och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&amp; Skogsstyrelsen, 2019; SLU Artdatabanken, 2025).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 xml:space="preserve">Springkorn </w:t>
      </w:r>
      <w:r>
        <w:t>är en kärlväxt som blir upp till en meter hög och kan bilda stora bestånd,</w:t>
      </w:r>
      <w:r>
        <w:rPr>
          <w:b/>
        </w:rPr>
        <w:t xml:space="preserve"> </w:t>
      </w:r>
      <w:r>
        <w:t xml:space="preserve">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typisk art för </w:t>
      </w:r>
      <w:r>
        <w:rPr>
          <w:i/>
        </w:rPr>
        <w:t xml:space="preserve">9080 Lövsumpskog, 9750 Svämlövskog </w:t>
      </w:r>
      <w:r>
        <w:t>och</w:t>
      </w:r>
      <w:r>
        <w:rPr>
          <w:i/>
        </w:rPr>
        <w:t xml:space="preserve"> 9760 Svämädellövskog</w:t>
      </w:r>
      <w:r>
        <w:t xml:space="preserve"> samt värdväxt för de sällsynta och rödlistade fjärilsarterna gulryggig fältmätare (VU), nätådrig parkmätare (VU), springkornsrotvecklare (VU) och springkornsfältmätare (NT) (SLU Artdatabanken, 2024).</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grangråticka (VU, T), gränsticka (VU, T), gul taggsvamp (VU, T), knärot (VU, T, §8), dofttaggsvamp (NT, T), orange taggsvamp (NT, T), sårläka (NT, T), ullticka (NT, T), bronshjon (S, T), granbarkgnagare (S, T), grön sköldmossa (S, T, §8), grönpyrola (S, T), korallblylav (S, T), springkorn (S, T), stubbspretmossa (S, T), vedticka (S, T), blåsippa (T, §9)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Grön sköldmossa – ekologi samt krav på livsmiljön</w:t>
      </w:r>
    </w:p>
    <w:p>
      <w:r>
        <w:t>Grön sköldmossa (§8) växer på stubbar och lågor av olika trädslag, huvudsakligen i sena nedbrytningsstadier. Den förekommer främst i näringsrika granskogar med stort inslag av löv, arten är kortlivad och antalet kapslar varierar kraftigt mellan olika år. Grön sköldmossa kräver skog som har ett speciellt mikroklimat med hög och jämn luftfuktighet i kombination med rik tillgång på död ved (SLU Artdatabanken, 2021; Nitare &amp; Skogsstyrelsen, 2019).</w:t>
      </w:r>
    </w:p>
    <w:p>
      <w:r>
        <w:t>Arten har sin huvudutbredning i sydöstra Sverige. Allvarligaste hoten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 I praktiken handlar det om åtminstone 50 meter med skyddande skog för att undvika uttorkning av marken (Hallingbäck, personligt meddelande 2022-02-24).</w:t>
      </w:r>
    </w:p>
    <w:p>
      <w:r>
        <w:t xml:space="preserve">Grön sköldmossa är typisk art för </w:t>
      </w:r>
      <w:r>
        <w:rPr>
          <w:i/>
        </w:rPr>
        <w:t xml:space="preserve">9010 Taiga </w:t>
      </w:r>
      <w:r>
        <w:t>och</w:t>
      </w:r>
      <w:r>
        <w:rPr>
          <w:i/>
        </w:rPr>
        <w:t xml:space="preserve"> 9750 Svämlövskog</w:t>
      </w:r>
      <w:r>
        <w:t>, fridlyst enligt 8§ artskyddsförordningen och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Fridlysningen enligt §§ 8 och 15 Artskyddsförordningen innebär att det är förbjudet att på något sätt skada exemplar av arten, se artskyddsförordningen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2 till art- och habitatdirektivet.</w:t>
      </w:r>
    </w:p>
    <w:p>
      <w:r>
        <w:t>Mark- och miljööverdomstolen (MÖD) har i mål nr M 2019-20 (18 februari 2019) slagit fast att grön sköldmossa (§8) är dispenspliktig och att exemplar av arten inte får skadas utan dispens (MÖD, mål nr M 2019-20).</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