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7380-2023 i Uppsala kommun</w:t>
      </w:r>
    </w:p>
    <w:p>
      <w:r>
        <w:t>Detta dokument behandlar höga naturvärden i avverkningsanmälan A 7380-2023 i Uppsala kommun. Denna avverkningsanmälan inkom 2023-02-14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skogsalm (CR), cinnoberbagge (EN, §4a), bleknande kamskivling (NT), jättekamskivling (NT), rutskinn (NT), bolmörtsskivling (S), gulmjölkig storskål (S), hasselsopp (S), svart trolldruva (S), tibast (S), vårärt (S)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7380-2023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6634726, E 663173 i SWEREF 99 TM.</w:t>
      </w:r>
    </w:p>
    <w:p>
      <w:r>
        <w:rPr>
          <w:b/>
        </w:rPr>
        <w:t xml:space="preserve">Gulmjölkig storskål </w:t>
      </w:r>
      <w:r>
        <w:t>visar på rika ädellövskogar och lundar med höga naturvärden och speciella markförhållanden där den kalkhaltiga jorden är något fuktig och långvarigt beskuggad. Gulmjölkig storskål utgör en karaktärsart i exempelvis gamla slutna öländska hässlen och lundar där den ibland uppträder rikligt, nästan alltid tillsammans med andra ovanliga och rödlistade arter (Nitare &amp; Skogsstyrelsen, 2019).</w:t>
      </w:r>
    </w:p>
    <w:p>
      <w:r>
        <w:rPr>
          <w:b/>
        </w:rPr>
        <w:t>Jättekamskivling (NT)</w:t>
      </w:r>
      <w:r>
        <w:t xml:space="preserve"> är en sällsynt svamp som tillhör ädellövskogsfloran där den bildar mykorrhiza med lövträd, bl.a. ek och bok. Den är överallt en bra signalart och indikerar lång trädkontinuitet i ädellövskog på kalkhaltig mark (SLU Artdatabanken, 2024; Nitare &amp; Skogsstyrelsen, 2019).</w:t>
      </w:r>
    </w:p>
    <w:p>
      <w:r>
        <w:rPr>
          <w:b/>
        </w:rPr>
        <w:t>Rutskinn (NT)</w:t>
      </w:r>
      <w:r>
        <w:t xml:space="preserve"> är en relativt sällsynt art som växer främst på gammal grov ek och nedfallna grenar av ek, framför allt i ekhagar, men ibland även i mera sluten ädellöv- och blandskog. För att gynna arten måste hagmarker och ädellövskog med grova ekar skyddas och skötas så att en olikåldrig struktur gynnas och de gamla träden får ersättare när de dör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cinnoberbagge (EN, §4a) och blåsippa (§9).</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