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13546-2025 i Uppsala kommun</w:t>
      </w:r>
    </w:p>
    <w:p>
      <w:r>
        <w:t>Detta klagomål behandlar höga naturvärden i avverkningsanmälan A 13546-2025 i Uppsala kommun som inkom 2025-03-20 och omfattar 3,7 ha.</w:t>
      </w:r>
    </w:p>
    <w:p>
      <w:pPr>
        <w:pStyle w:val="Caption"/>
      </w:pPr>
      <w:r>
        <w:drawing>
          <wp:inline xmlns:a="http://schemas.openxmlformats.org/drawingml/2006/main" xmlns:pic="http://schemas.openxmlformats.org/drawingml/2006/picture">
            <wp:extent cx="5486400" cy="5555123"/>
            <wp:docPr id="1" name="Picture 1"/>
            <wp:cNvGraphicFramePr>
              <a:graphicFrameLocks noChangeAspect="1"/>
            </wp:cNvGraphicFramePr>
            <a:graphic>
              <a:graphicData uri="http://schemas.openxmlformats.org/drawingml/2006/picture">
                <pic:pic>
                  <pic:nvPicPr>
                    <pic:cNvPr id="0" name="A 13546-2025 karta.png"/>
                    <pic:cNvPicPr/>
                  </pic:nvPicPr>
                  <pic:blipFill>
                    <a:blip r:embed="rId16"/>
                    <a:stretch>
                      <a:fillRect/>
                    </a:stretch>
                  </pic:blipFill>
                  <pic:spPr>
                    <a:xfrm>
                      <a:off x="0" y="0"/>
                      <a:ext cx="5486400" cy="5555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6667784, E 638596 i SWEREF 99 TM.</w:t>
      </w:r>
    </w:p>
    <w:p>
      <w:r>
        <w:t>I avverkningsanmälan finns fynd av 5 naturvårdsarter, varav 1 är rödlistad, 1 är fridlyst, 4 är typiska (T) och 3 är signalarter (S): ullticka (NT, T), bronshjon (S, T), thomsons trägnagare (S), vanlig flatbagge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