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dokument behandlar höga naturvärden i avverkningsanmälan A 8229-2026 i Uppsala kommun. Denna avverkningsanmälan inkom 2026-02-10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krusfrö (NT), rödvingetrast (NT, §4), spillkråka (NT, §4), ärtsångare (NT, §4), barkticka (S), gröngöling (§4), grönsiska (§4), järnsparv (§4), kungsfågel (§4), huggorm (§6),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6642399, E 657688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rödvingetrast (NT, §4), spillkråka (NT, §4), ärtsångare (NT, §4), gröngöling (§4), grönsiska (§4), järnsparv (§4), kungsfågel (§4), huggorm (§6),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