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51297-2024 i Uppsala kommun</w:t>
      </w:r>
    </w:p>
    <w:p>
      <w:r>
        <w:t>Detta klagomål behandlar höga naturvärden i avverkningsanmälan A 51297-2024 i Uppsala kommun som inkom 2024-11-07 och omfattar 322,7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6630871, E 628228 i SWEREF 99 TM.</w:t>
      </w:r>
    </w:p>
    <w:p>
      <w:r>
        <w:t>I och inom 15 meter från avverkningsanmälan finns fynd av 43 naturvårdsarter, varav 21 är rödlistade, 24 är fridlysta, 25 är typiska (T) och 11 är signalarter (S): bombmurkla (EN, §8), pärluggla (EN, T, §4), cinnoberbagge (VU, §4a), västlig njurlav (VU, T), Blastenia relicta (NT), duvhök (NT, §4), grynig filtlav (NT, T), göktyta (NT, §4), koralltaggsvamp (NT, T), lunglav (NT, T), mindre hackspett (NT, T, §4), nötkråka (NT, T, §4), rödbrun blekspik (NT, T), rödvingetrast (NT, §4), skuggorangelav (NT), sparvuggla (NT, §4), talltita (NT, §4), tretåig hackspett (NT, T, §4), ullticka (NT, T), vinterhämpling (NT, §4), vippärt (NT, T), aspvedborre (S), barkticka (S, T), bårdlav (S, T), grön sköldmossa (S, T, §8), lönnlav (S), platt fjädermossa (S, T), rävticka (S, T), skinnlav (S, T), stor aspticka (S, T), stuplav (S, T), trådticka (S, T), gråspett (T, §4), järpe (T, §4), nattskärra (T, §4), spillkråka (T, §4), tjäder (T, §4), gröngöling (§4), kungsfågel (§4), orre (§4), skogsduva (§4), slaguggla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