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28775-2026 i Uppsala kommun</w:t>
      </w:r>
    </w:p>
    <w:p>
      <w:r>
        <w:t>Detta klagomål behandlar höga naturvärden i avverkningsanmälan A 28775-2026 i Uppsala kommun som inkom 2026-06-25 och omfattar 1,8 ha.</w:t>
      </w:r>
    </w:p>
    <w:p>
      <w:pPr>
        <w:pStyle w:val="Caption"/>
      </w:pPr>
      <w:r>
        <w:drawing>
          <wp:inline xmlns:a="http://schemas.openxmlformats.org/drawingml/2006/main" xmlns:pic="http://schemas.openxmlformats.org/drawingml/2006/picture">
            <wp:extent cx="5486400" cy="4672351"/>
            <wp:docPr id="1" name="Picture 1"/>
            <wp:cNvGraphicFramePr>
              <a:graphicFrameLocks noChangeAspect="1"/>
            </wp:cNvGraphicFramePr>
            <a:graphic>
              <a:graphicData uri="http://schemas.openxmlformats.org/drawingml/2006/picture">
                <pic:pic>
                  <pic:nvPicPr>
                    <pic:cNvPr id="0" name="A 28775-2026 karta.png"/>
                    <pic:cNvPicPr/>
                  </pic:nvPicPr>
                  <pic:blipFill>
                    <a:blip r:embed="rId16"/>
                    <a:stretch>
                      <a:fillRect/>
                    </a:stretch>
                  </pic:blipFill>
                  <pic:spPr>
                    <a:xfrm>
                      <a:off x="0" y="0"/>
                      <a:ext cx="5486400" cy="467235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6642425, E 641571 i SWEREF 99 TM.</w:t>
      </w:r>
    </w:p>
    <w:p>
      <w:r>
        <w:t>I avverkningsanmälan finns fynd av 9 naturvårdsarter, varav 2 är rödlistade, 1 är fridlyst, 6 är typiska (T) och 6 är signalarter (S): kötticka (NT), tallticka (NT, T), brandticka (S), bronshjon (S, T), granbarkgnagare (S, T), grovticka (S, T), källpraktmossa (S, T), vågbandad barkbock (S)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Kötticka (NT)</w:t>
      </w:r>
      <w:r>
        <w:t xml:space="preserve"> är granens kötticka och har klassificerats som ”gammelskogsindikator”, då den förekommer med ett tydligt optimum i äldre barrskogar, främst fuktiga granskogar. Den har högst signalvärde söder om den naturliga norrlandsgränsen </w:t>
      </w:r>
      <w:r>
        <w:rPr>
          <w:i/>
        </w:rPr>
        <w:t>limes norrlandicus</w:t>
      </w:r>
      <w:r>
        <w:t>, men signalerar vanligtvis höga naturvärden även i Norrland. Arten är knuten till miljöer med konstant luftfuktighet och känslig för uttorkning som en avverkning kan medföra. Den totala populationen bedöms därför ha minskat under de senaste 30 åren och fortsätter att minska i takt med att grankontinuitetsskogar (skogar som inte kalavverkats) minskar i areal, samtidigt som att lämpliga miljöer inte återskapas i samma takt (SLU Artdatabanken, 2024; Nitare &amp; Skogsstyrelsen, 2019).</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 xml:space="preserve">Brandticka </w:t>
      </w:r>
      <w:r>
        <w:t>förekommer främst i olikåldrig fuktig granskog med mycket död ved, ofta i kärrkanter eller vid bäckar på lokaler med hög luftfuktighet. Växer huvudsakligen på grova granlågor, någon enstaka gång på tall, asp eller björk, och verkar knuten till ved som först rötats av klibbticka. Arten var tidigare rödlistad men en sentida ökning, bland annat i barkborreangripna granplanteringar i sydligaste Skandinavien har förändrat hotbilden. Populationen i landet kan påverkas negativt av kalavverkning och ett skogsbruk som innebär att mängden grova granlågor minskar. Även dikning och gallring som leder till ett torrare mikroklimat på växtplatserna kan ha negativ inverkan. För att säkerställa en gynnsam bevarandestatus på sikt bör områdesskydd av artens livsmiljöer upprättas på ett sätt som tryggar livskraftiga populationer på landskapsnivå. Vid skogsbruk bör grov död ved och skyddszoner vid kärr och vattendrag lämnas, och träd tillåtas åldras och dö på ett sätt som skapar kontinuerlig tillgång på livsmiljöer (SLU Artdatabanken, 2025).</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 xml:space="preserve">Granbarkgnagare </w:t>
      </w:r>
      <w:r>
        <w:t xml:space="preserve">är en skalbagge vars larvutveckling sker i den tjocka ytterbarken på gamla och mycket grova levande granar. Man lägger lätt märke till angreppen på träden eftersom flera grova kläckhål ligger ganska tätt intill varandra på de grövre barkåsarna. Kläckhålen är runda och ca 1,5 mm breda. Granbarkgnagare är typisk art för </w:t>
      </w:r>
      <w:r>
        <w:rPr>
          <w:i/>
        </w:rPr>
        <w:t xml:space="preserve">9010 Taiga </w:t>
      </w:r>
      <w:r>
        <w:t>(Ehnström, 2002; SLU Artdatabanken, 2025).</w:t>
      </w:r>
    </w:p>
    <w:p>
      <w:r>
        <w:rPr>
          <w:b/>
        </w:rPr>
        <w:t>Grovticka</w:t>
      </w:r>
      <w:r>
        <w:t xml:space="preserve"> är i skogslandskapet främst knuten till naturskogsartad äldre barrskog. Den är där en värdefull ”gammelskogsindikator” och påträffas mest vid tallar som är över 200 år gamla.  Grovticka är typisk art för </w:t>
      </w:r>
      <w:r>
        <w:rPr>
          <w:i/>
        </w:rPr>
        <w:t xml:space="preserve">9060 Åsbarrskog </w:t>
      </w:r>
      <w:r>
        <w:t>(Nitare &amp; Skogsstyrelsen, 2019; SLU Artdatabanken, 2025).</w:t>
      </w:r>
    </w:p>
    <w:p>
      <w:r>
        <w:rPr>
          <w:b/>
        </w:rPr>
        <w:t xml:space="preserve">Källpraktmossa </w:t>
      </w:r>
      <w:r>
        <w:t xml:space="preserve">växer på fuktig eller blöt, näringsrik och ofta mineralrik mark, t.ex. i sumpskogar. Den är en god signalart i södra och mellersta Sverige och förekommer ofta i artrika miljöer med t.ex. kärrkammossa, bågpraktmossa, filtrundmossa och skogshakmossa. Eftersom mängden våtmarker har reducerats kraftigt i södra Sverige under det senaste seklet har förekomsten av källpraktmossa troligen minskat i söder. Källpraktmossa är typisk art för </w:t>
      </w:r>
      <w:r>
        <w:rPr>
          <w:i/>
        </w:rPr>
        <w:t xml:space="preserve">7160 Källor och källkärr, 9750 Svämlövskog </w:t>
      </w:r>
      <w:r>
        <w:t>och</w:t>
      </w:r>
      <w:r>
        <w:rPr>
          <w:i/>
        </w:rPr>
        <w:t xml:space="preserve"> 9080 Lövsumpskog </w:t>
      </w:r>
      <w:r>
        <w:t>(Nitare &amp; Skogsstyrelsen, 2019;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