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25143-2023 i Uppsala kommun</w:t>
      </w:r>
    </w:p>
    <w:p>
      <w:r>
        <w:t>Denna tillsynsbegäran behandlar höga naturvärden i avverkningsanmälan A 25143-2023 i Uppsala kommun som inkom 2023-06-09 och omfattar 15,9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25143-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6646100, E 628578 i SWEREF 99 TM.</w:t>
      </w:r>
    </w:p>
    <w:p>
      <w:r>
        <w:t>I och inom 14 meter från avverkningsanmälan finns fynd av 14 naturvårdsarter, varav 4 är rödlistade, 6 är fridlysta, 7 är typiska (T) och 5 är signalarter (S): knärot (VU, T, §8), grönhjon (NT), ullticka (NT, T), vågticka (NT), bronshjon (S, T), fällmossa (S, T), granbarkgnagare (S, T), grönpyrola (S, T), guldlockmossa (S, T), grönsiska (§4), kungsfågel (§4), åkergroda (§4a),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303520"/>
            <wp:docPr id="2" name="Picture 2"/>
            <wp:cNvGraphicFramePr>
              <a:graphicFrameLocks noChangeAspect="1"/>
            </wp:cNvGraphicFramePr>
            <a:graphic>
              <a:graphicData uri="http://schemas.openxmlformats.org/drawingml/2006/picture">
                <pic:pic>
                  <pic:nvPicPr>
                    <pic:cNvPr id="0" name="A 25143-2023 karta knärot.png"/>
                    <pic:cNvPicPr/>
                  </pic:nvPicPr>
                  <pic:blipFill>
                    <a:blip r:embed="rId17"/>
                    <a:stretch>
                      <a:fillRect/>
                    </a:stretch>
                  </pic:blipFill>
                  <pic:spPr>
                    <a:xfrm>
                      <a:off x="0" y="0"/>
                      <a:ext cx="5486400" cy="53035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6646100, E 628578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bronshjon (S, T), fällmossa (S, T), granbarkgnagare (S, T), grönpyrola (S, T) och guldlockmossa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