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11 meter från avverkningsanmälan finns fynd av 28 naturvårdsarter, varav 15 är rödlistade, 7 är fridlysta, 18 är typiska (T) och 8 är signalarter (S): gräddporing (VU, T), knärot (VU, T, §8), raggbock (VU, T), barrpraktbagge (NT), dropptaggsvamp (NT, T), dvärgbägarlav (NT, T), gropticka (NT, T), kolflarnlav (NT, T), motaggsvamp (NT, T), skrovlig flatbagge (NT, T), tallkötticka (NT), talltita (NT, §4), ullticka (NT, T), vedskivlav (NT, T), vedtrappmossa (NT, T), björksplintborre (S), bronshjon (S, T), flagellkvastmossa (S, T), granbarkgnagare (S, T), gullgröppa (S), jättesvampmal (S), större träfjäril (S), vågbandad barkbock (S), mattlummer (T, §9), spillkråka (T, §4), tjäder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