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2523-2024 i Uppsala kommun</w:t>
      </w:r>
    </w:p>
    <w:p>
      <w:r>
        <w:t>Detta klagomål behandlar höga naturvärden i avverkningsanmälan A 2523-2024 i Uppsala kommun som inkom 2024-01-22 och omfattar 18,8 ha.</w:t>
      </w:r>
    </w:p>
    <w:p>
      <w:pPr>
        <w:pStyle w:val="Caption"/>
      </w:pPr>
      <w:r>
        <w:drawing>
          <wp:inline xmlns:a="http://schemas.openxmlformats.org/drawingml/2006/main" xmlns:pic="http://schemas.openxmlformats.org/drawingml/2006/picture">
            <wp:extent cx="5486400" cy="5339342"/>
            <wp:docPr id="1" name="Picture 1"/>
            <wp:cNvGraphicFramePr>
              <a:graphicFrameLocks noChangeAspect="1"/>
            </wp:cNvGraphicFramePr>
            <a:graphic>
              <a:graphicData uri="http://schemas.openxmlformats.org/drawingml/2006/picture">
                <pic:pic>
                  <pic:nvPicPr>
                    <pic:cNvPr id="0" name="A 2523-2024 karta.png"/>
                    <pic:cNvPicPr/>
                  </pic:nvPicPr>
                  <pic:blipFill>
                    <a:blip r:embed="rId16"/>
                    <a:stretch>
                      <a:fillRect/>
                    </a:stretch>
                  </pic:blipFill>
                  <pic:spPr>
                    <a:xfrm>
                      <a:off x="0" y="0"/>
                      <a:ext cx="5486400" cy="533934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6645685, E 628258 i SWEREF 99 TM.</w:t>
      </w:r>
    </w:p>
    <w:p>
      <w:r>
        <w:t>I och inom 25 meter från avverkningsanmälan finns fynd av 18 naturvårdsarter, varav 9 är rödlistade, 7 är fridlysta, 15 är typiska (T) och 5 är signalarter (S): knärot (VU, T, §8), lunglav (NT, T), rutskinn (NT, T), rödbrun blekspik (NT, T), tallticka (NT, T), talltita (NT, §4), tretåig hackspett (NT, T, §4), ullticka (NT, T), vedskivlav (NT, T), brandticka (S), bronshjon (S, T), grönpyrola (S, T), rostfläck (S, T), trådticka (S, T), blåsippa (T, §9),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2.46 ha med buffertzonerna och får av detta skäl inte avverkas.</w:t>
      </w:r>
    </w:p>
    <w:p>
      <w:pPr>
        <w:pStyle w:val="Caption"/>
      </w:pPr>
      <w:r>
        <w:drawing>
          <wp:inline xmlns:a="http://schemas.openxmlformats.org/drawingml/2006/main" xmlns:pic="http://schemas.openxmlformats.org/drawingml/2006/picture">
            <wp:extent cx="5486400" cy="5084818"/>
            <wp:docPr id="2" name="Picture 2"/>
            <wp:cNvGraphicFramePr>
              <a:graphicFrameLocks noChangeAspect="1"/>
            </wp:cNvGraphicFramePr>
            <a:graphic>
              <a:graphicData uri="http://schemas.openxmlformats.org/drawingml/2006/picture">
                <pic:pic>
                  <pic:nvPicPr>
                    <pic:cNvPr id="0" name="A 2523-2024 karta knärot.png"/>
                    <pic:cNvPicPr/>
                  </pic:nvPicPr>
                  <pic:blipFill>
                    <a:blip r:embed="rId17"/>
                    <a:stretch>
                      <a:fillRect/>
                    </a:stretch>
                  </pic:blipFill>
                  <pic:spPr>
                    <a:xfrm>
                      <a:off x="0" y="0"/>
                      <a:ext cx="5486400" cy="50848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6645685, E 628258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