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klagomål behandlar höga naturvärden i avverkningsanmälan A 47453-2023 i Uppsala kommun som inkom 2023-10-03 och omfattar 32,8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6668154, E 636071 i SWEREF 99 TM.</w:t>
      </w:r>
    </w:p>
    <w:p>
      <w:r>
        <w:t>I och inom 24 meter från avverkningsanmälan finns fynd av 12 naturvårdsarter, varav 8 är rödlistade, 5 är fridlysta, 7 är typiska (T) och 3 är signalarter (S): knärot (VU, T, §8), ostticka (VU, T), sparvuggla (NT, §4), större flatbagge (NT), tallticka (NT, T), talltita (NT, §4), tretåig hackspett (NT, T, §4), vedtrappmossa (NT, T), bronshjon (S, T), jättesvampmal (S), thomsons trägnagare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