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62003-2025 i Uppsala kommun</w:t>
      </w:r>
    </w:p>
    <w:p>
      <w:r>
        <w:t>Detta dokument behandlar höga naturvärden i avverkningsanmälan A 62003-2025 i Uppsala kommun. Denna avverkningsanmälan inkom 2025-12-12 15:49:41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spillkråka (NT, §4), svart ögonknäppare (NT), talltita (NT, §4), Triplax rufipes (NT), ullticka (NT), vedtrappmossa (NT), granbarkgnagare (S), lopplummer (aggregat)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62003-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6658737, E 633618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i/>
        </w:rPr>
        <w:t>Triplax rufipes</w:t>
      </w:r>
      <w:r>
        <w:rPr>
          <w:b/>
        </w:rPr>
        <w:t xml:space="preserve"> </w:t>
      </w:r>
      <w:r>
        <w:t>är en trädsvampbagge vars larvutveckling sker i fruktkroppar av ostronmussling, fnöskticka, klibbticka, bokdyna och sprängticka på lövträd som björk, asp, lind, ek och bok. Arten påverkas negativt av brist på död ved och det föreligger indikation på eller misstanke om populationsminskning. Minskningen avser kvalitén på artens habitat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62003-2025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6658737, E 633618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