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43278-2025 i Uppsala kommun</w:t>
      </w:r>
    </w:p>
    <w:p>
      <w:r>
        <w:t>Denna tillsynsbegäran behandlar höga naturvärden i avverkningsanmälan A 43278-2025 i Uppsala kommun som inkom 2025-09-10 och omfattar 2,4 ha.</w:t>
      </w:r>
    </w:p>
    <w:p>
      <w:pPr>
        <w:pStyle w:val="Caption"/>
      </w:pPr>
      <w:r>
        <w:drawing>
          <wp:inline xmlns:a="http://schemas.openxmlformats.org/drawingml/2006/main" xmlns:pic="http://schemas.openxmlformats.org/drawingml/2006/picture">
            <wp:extent cx="5413338" cy="5724000"/>
            <wp:docPr id="1" name="Picture 1"/>
            <wp:cNvGraphicFramePr>
              <a:graphicFrameLocks noChangeAspect="1"/>
            </wp:cNvGraphicFramePr>
            <a:graphic>
              <a:graphicData uri="http://schemas.openxmlformats.org/drawingml/2006/picture">
                <pic:pic>
                  <pic:nvPicPr>
                    <pic:cNvPr id="0" name="A 43278-2025 karta.png"/>
                    <pic:cNvPicPr/>
                  </pic:nvPicPr>
                  <pic:blipFill>
                    <a:blip r:embed="rId16"/>
                    <a:stretch>
                      <a:fillRect/>
                    </a:stretch>
                  </pic:blipFill>
                  <pic:spPr>
                    <a:xfrm>
                      <a:off x="0" y="0"/>
                      <a:ext cx="5413338" cy="5724000"/>
                    </a:xfrm>
                    <a:prstGeom prst="rect"/>
                  </pic:spPr>
                </pic:pic>
              </a:graphicData>
            </a:graphic>
          </wp:inline>
        </w:drawing>
      </w:r>
    </w:p>
    <w:p>
      <w:pPr>
        <w:pStyle w:val="Caption"/>
        <w:spacing w:after="240"/>
      </w:pPr>
      <w:r>
        <w:t>Figur 1. Fyndplatser för naturvårdsarter i och inom 1 meter från avverkningsanmälan. Markörer utan svart kant är placerade på fyndplatsen. Markörer med svart kant är placerade vid sidan av fyndplatsen och har ett svart streck som visar fyndplatsens exakta position. Kartans mittpunktskoordinat är N 6642072, E 632218 i SWEREF 99 TM.</w:t>
      </w:r>
    </w:p>
    <w:p>
      <w:r>
        <w:t>I och inom 1 meter från avverkningsanmälan finns fynd av 3 naturvårdsarter, varav 1 är rödlistad, 2 är typiska (T) och 2 är signalarter (S): vedtrappmossa (NT, T), svavelriska (S) och trådticka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Vedtrappmossa (NT) </w:t>
      </w:r>
      <w:r>
        <w:t xml:space="preserve">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Vedtrappmossa är typisk art för </w:t>
      </w:r>
      <w:r>
        <w:rPr>
          <w:i/>
        </w:rPr>
        <w:t>9010 Taiga</w:t>
      </w:r>
      <w:r>
        <w:t xml:space="preserve"> (SLU Artdatabanken, 2024).</w:t>
      </w:r>
    </w:p>
    <w:p>
      <w:r>
        <w:rPr>
          <w:b/>
        </w:rPr>
        <w:t xml:space="preserve">Trådticka </w:t>
      </w:r>
      <w:r>
        <w:t xml:space="preserve">är knuten till grova granar i rikare ofta fuktiga miljöer. Den återfinns på både levande och döda träd samt stubbar och nyligen fallna träd. Karaktärsart för äldre fuktiga granskogsbiotoper, och i stor mängd är den en bra signalart för miljöer med andra rödlistade arter. Trådticka är typisk art för </w:t>
      </w:r>
      <w:r>
        <w:rPr>
          <w:i/>
        </w:rPr>
        <w:t xml:space="preserve">9010 Taiga </w:t>
      </w:r>
      <w:r>
        <w:t xml:space="preserve">och </w:t>
      </w:r>
      <w:r>
        <w:rPr>
          <w:i/>
        </w:rPr>
        <w:t xml:space="preserve">9050 Näringsrik granskog </w:t>
      </w:r>
      <w:r>
        <w:t>(SLU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