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47453-2023 i Uppsala kommun</w:t>
      </w:r>
    </w:p>
    <w:p>
      <w:r>
        <w:t>Detta klagomål behandlar höga naturvärden i avverkningsanmälan A 47453-2023 i Uppsala kommun som inkom 2023-10-03 och omfattar 32,8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47453-2023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6668154, E 636071 i SWEREF 99 TM.</w:t>
      </w:r>
    </w:p>
    <w:p>
      <w:r>
        <w:t>I och inom 24 meter från avverkningsanmälan finns fynd av 12 naturvårdsarter, varav 8 är rödlistade, 5 är fridlysta, 7 är typiska (T) och 3 är signalarter (S): knärot (VU, T, §8), ostticka (VU, T), sparvuggla (NT, §4), större flatbagge (NT), tallticka (NT, T), talltita (NT, §4), tretåig hackspett (NT, T, §4), vedtrappmossa (NT, T), bronshjon (S, T), jättesvampmal (S), thomsons trägnagare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A 47453-2023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6668154, E 636071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