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7380-2023 i Uppsala kommun</w:t>
      </w:r>
    </w:p>
    <w:p>
      <w:r>
        <w:t>Detta klagomål behandlar höga naturvärden i avverkningsanmälan A 7380-2023 i Uppsala kommun som inkom 2023-02-14 och omfattar 3,7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7380-2023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6634726, E 663173 i SWEREF 99 TM.</w:t>
      </w:r>
    </w:p>
    <w:p>
      <w:r>
        <w:t>I och inom 22 meter från avverkningsanmälan finns fynd av 15 naturvårdsarter, varav 7 är rödlistade, 3 är fridlysta, 7 är typiska (T) och 6 är signalarter (S): skogsalm (EN), cinnoberbagge (VU, §4a), lundfingersvamp (VU), bleknande kamskivling (NT), jättekamskivling (NT), rutskinn (NT, T), vårärt (NT, T), bolmörtsskivling (S), gulmjölkig storskål (S), hasselsopp (S), hasselticka (S, T), svart trolldruva (S, T), tibast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 xml:space="preserve">Lundfingersvamp (VU) </w:t>
      </w:r>
      <w:r>
        <w:t>bildar mykorrhiza med lind, bok, avenbok och ek i luckig, äldre ädellövskog och gamla lindalléer. I Götaland främst påträffad i ädellövskog, i Svealand främst i alléer och parkmiljö. Överallt mycket sällsynt och med totalt sett liten population i landet. Främsta hotet utgörs av avverkning eller annan exploatering av växtplatserna.  Samtliga lokaler bör skyddas. Lind och gammal hassel bör värnas (SLU Artdatabanken, 2026).</w:t>
      </w:r>
    </w:p>
    <w:p>
      <w:r>
        <w:rPr>
          <w:b/>
        </w:rPr>
        <w:t>Bleknande kamskivling (NT)</w:t>
      </w:r>
      <w:r>
        <w:t xml:space="preserve"> bildar mykorrhiza med ek på lerig kalkrik mark, i öppna solvarma lägen i hagmarker, lövängar och parker. En uppenbart sällsynt och iögonfallande art som växer i en väl undersökt och exklusiv miljö. Cirka hälften av de kända svenska växtplatserna finns på Gotland. Arten förefaller trivas i ljusa, halvöppna trädbestånd och har sannolikt gynnats av äldre tiders markanvändning inom jordbruket. Det är viktigt att ekbestånden, där arten finns, hålls hävdade så att ekarna inte dör på grund av igenväxning. Lokalerna får inte avverkas och planteras med andra trädslag (SLU Artdatabanken, 2026).</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Gulmjölkig storskål </w:t>
      </w:r>
      <w:r>
        <w:t>visar på rika ädellövskogar och lundar med höga naturvärden och speciella markförhållanden där den kalkhaltiga jorden är något fuktig och långvarigt beskuggad. Gulmjölkig storskål utgör en karaktärsart i exempelvis gamla slutna öländska hässlen och lundar där den ibland uppträder rikligt, nästan alltid tillsammans med andra ovanliga och rödlistade arter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