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2566-2020 i Uppsala kommun</w:t>
      </w:r>
    </w:p>
    <w:p>
      <w:r>
        <w:t>Detta klagomål behandlar höga naturvärden i samrådsanmälan S 2566-2020 i Uppsala kommun som inkom 2020-11-25 och omfattar 8,9 ha.</w:t>
      </w:r>
    </w:p>
    <w:p>
      <w:pPr>
        <w:pStyle w:val="Caption"/>
      </w:pPr>
      <w:r>
        <w:drawing>
          <wp:inline xmlns:a="http://schemas.openxmlformats.org/drawingml/2006/main" xmlns:pic="http://schemas.openxmlformats.org/drawingml/2006/picture">
            <wp:extent cx="5346334" cy="5724000"/>
            <wp:docPr id="1" name="Picture 1"/>
            <wp:cNvGraphicFramePr>
              <a:graphicFrameLocks noChangeAspect="1"/>
            </wp:cNvGraphicFramePr>
            <a:graphic>
              <a:graphicData uri="http://schemas.openxmlformats.org/drawingml/2006/picture">
                <pic:pic>
                  <pic:nvPicPr>
                    <pic:cNvPr id="0" name="S 2566-2020 karta.png"/>
                    <pic:cNvPicPr/>
                  </pic:nvPicPr>
                  <pic:blipFill>
                    <a:blip r:embed="rId16"/>
                    <a:stretch>
                      <a:fillRect/>
                    </a:stretch>
                  </pic:blipFill>
                  <pic:spPr>
                    <a:xfrm>
                      <a:off x="0" y="0"/>
                      <a:ext cx="5346334"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6638733, E 642777 i SWEREF 99 TM.</w:t>
      </w:r>
    </w:p>
    <w:p>
      <w:r>
        <w:t>I och inom 25 meter från samrådsanmälan finns fynd av 39 naturvårdsarter, varav 26 är rödlistade, 2 är fridlysta, 11 är typiska (T) och 12 är signalarter (S): knölig taggsvamp (EN), koppartaggsvamp (EN), violgubbe (EN), borsttagging (VU), cinnoberbagge (VU, §4a), fläckfingersvamp (VU), grangråticka (VU, T), granrotspindling (VU), taggfingersvamp (VU), ulltickeporing (VU), blek fingersvamp (NT), dropptaggsvamp (NT, T), fjällig taggsvamp s.str. (NT), flattoppad klubbsvamp (NT), fyrflikig jordstjärna (NT, T), gultoppig fingersvamp (NT), koralltaggsvamp (NT, T), motaggsvamp (NT, T), rovspindling (NT), rynkskinn (NT, T), skarp dropptaggsvamp (NT), sotvaxskivling (NT), tallkötticka (NT), ullticka (NT, T), veckticka (NT, T), vågticka (NT), blomkålssvamp (S), brandticka (S), gulskölding (S), kamjordstjärna (S), olivspindling (S), rödgul trumpetsvamp (S), smal svampklubba (S), småskölding (S), stor aspticka (S, T), svavelriska (S), terpentinmossa (S, T), zontaggsvamp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Knölig taggsvamp (EN) </w:t>
      </w:r>
      <w:r>
        <w:t>är en starkt hotad art som bildar mykorrhiza med gran i äldre kalkbarrskog. Arten är placerad högst upp i Skogsstyrelsens värdepyramid för bedömning av skog med höga naturvärden och främsta hotet utgör skogsavverkning eller exploatering av växtplatsen. Samtliga växtlokaler utgör naturvårdsmässiga toppobjekt med stor biologisk mångfald, vilka alla bör erhålla långsiktigt formellt skydd (SLU Artdatabanken, 2024; Nitare &amp; Skogsstyrelsen, 2019).</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rPr>
        <w:t>Cinnoberbagge (VU, §4a)</w:t>
      </w:r>
      <w:r>
        <w:t xml:space="preserve">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Cinnoberbagge missgynnas tveklöst av modernt skogsbruk och äldre lövrik skog, särskilt bestånd med gamla aspar, bör generellt sparas inom artens utbredningsområde (SLU Artdatabanken, 2026; Eriksson, 2013).</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Rovspindling (NT)</w:t>
      </w:r>
      <w:r>
        <w:t xml:space="preserve"> bildar mykorrhiza med gran i äldre granskog på näringsrik mark, främst i äldre kontinuitetsskog. Den totala populationen i landet bedöms ha minskat och förväntas fortsätta minska på grund av slutavverkning av äldre barrskog och kontinuitetsskog. Kända växtplatser bör säkerställas eller bevaras genom ett modifierat skogsbruk. Uttag av skog får ej ske som kalavverkning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38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39 naturvårdsarter varav 26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Cinnoberbagge – ekologi samt krav på livsmiljön</w:t>
      </w:r>
    </w:p>
    <w:p>
      <w:r>
        <w:t>Cinnoberbagge (VU, §4a)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(SLU Artdatabanken, 2026; Eriksson, 2013).</w:t>
      </w:r>
    </w:p>
    <w:p>
      <w:r>
        <w:t>Larvutvecklingen sker i innerbarken av nyligen döda, stående eller liggande stammar av främst lövträd. Huvudsakligen utnyttjas asp där larverna främst påträffas i beskuggade partier av stammarna och som mest kan 2–3 generationer utvecklas i ett träd innan det blir olämpligt som substrat på grund av att barken blir för torr och lossnar. Arten missgynnas tveklöst av modernt skogsbruk och äldre lövrik skog, särskilt bestånd med gamla aspar, bör generellt sparas inom artens utbredningsområde (SLU Artdatabanken, 2026; Eriksson, 2013).</w:t>
      </w:r>
    </w:p>
    <w:p>
      <w:pPr>
        <w:pStyle w:val="Heading2"/>
      </w:pPr>
      <w:r>
        <w:t>Referenser – cinnoberbagge</w:t>
      </w:r>
    </w:p>
    <w:p>
      <w:r>
        <w:t xml:space="preserve">Eriksson, P., 2013. </w:t>
      </w:r>
      <w:r>
        <w:rPr>
          <w:i/>
        </w:rPr>
        <w:t>Åtgärdsprogram för skalbaggar på gammal asp 2013–2017 Cinnoberbagge (Cucujus cinnaberinus) Aspsplintbock (Leiopus punctulatus)</w:t>
      </w:r>
      <w:r>
        <w:t xml:space="preserve"> (Rapport 6573). Bromma: Naturvårdsverket. https://www.naturvardsverket.se/978-91-620-6573-7</w:t>
      </w:r>
    </w:p>
    <w:p>
      <w:r>
        <w:t>SLU Artdatabanken, 2026.</w:t>
      </w:r>
      <w:r>
        <w:rPr>
          <w:i/>
        </w:rPr>
        <w:t xml:space="preserve"> Artfakta: cinnoberbagge (Cucujus cinnaberinus)</w:t>
      </w:r>
      <w:r>
        <w:t>. https://artfakta.se/taxa/100763</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