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60954-2024 i Uppsala kommun</w:t>
      </w:r>
    </w:p>
    <w:p>
      <w:r>
        <w:t>Denna tillsynsbegäran behandlar höga naturvärden i avverkningsanmälan A 60954-2024 i Uppsala kommun som inkom 2024-12-19 och omfattar 1,0 ha.</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60954-2024 karta.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6647144, E 655742 i SWEREF 99 TM.</w:t>
      </w:r>
    </w:p>
    <w:p>
      <w:r>
        <w:t>Inom 11 meter från avverkningsanmälan finns fynd av 1 naturvårdsarter, varav 1 är rödlistad: aspsplintbock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Aspsplintbock (VU)</w:t>
      </w:r>
      <w:r>
        <w:t xml:space="preserve"> är en skalbagge vars larvutveckling sker i barken på döda grenar eller klena stammar av asp. Främsta hotet är bristen på lövrika skogar med kontinuitet av gammal asp. Det är ogynnsamt att plocka bort vindfällen av asp, eller att ta ut grenar och toppar som biobränsle. Lövrika skogar med kontinuitet av gammal asp bör bevaras, och inte slutavverkas. Yngre aspbestånd bör få utvecklas fritt, och inte röjas eller gallras. Uttag av biobränsle (grenar och toppar) från asp bör undvikas. Aspsplintbock ingår i ett åtgärdsprogram för hotade arter (ÅGP) (SLU Artdatabanken, 2024; Eriksson, 2013).</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