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708-2023 i Uppsala kommun</w:t>
      </w:r>
    </w:p>
    <w:p>
      <w:r>
        <w:t>Denna tillsynsbegäran behandlar höga naturvärden i samrådsanmälan S 708-2023 i Uppsala kommun som inkom 2023-02-27 och omfattar 9,8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708-2023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6651643, E 683185 i SWEREF 99 TM.</w:t>
      </w:r>
    </w:p>
    <w:p>
      <w:r>
        <w:t>I och inom 11 meter från samrådsanmälan finns fynd av 3 naturvårdsarter, varav 2 är rödlistade, 1 är fridlyst och 1 är typisk (T): aspsplintbock (VU), mindre aspborre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 xml:space="preserve">Mindre aspborre (NT) </w:t>
      </w:r>
      <w:r>
        <w:t>är en skalbagge vars larvutveckling sker i innerbarken på nyligen döda grenar och stammar av asp, såväl stående som liggande träd. Arten påverkas negativt av brist på död ved och en minskning av populationen pågår eller förväntas ske.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