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36 naturvårdsarter, varav 19 är rödlistade, 9 är fridlysta, 22 är typiska (T) och 10 är signalarter (S): garnlav (VU, T), gräddporing (VU, T), knärot (VU, T, §8), raggbock (VU, T), barrpraktbagge (NT), brunpudrad nållav (NT, T), dropptaggsvamp (NT, T), dvärgbägarlav (NT, T), gropticka (NT, T), kolflarnlav (NT, T), kortskaftad ärgspik (NT), motaggsvamp (NT, T),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mattlummer (T, §9), spillkråka (T, §4), tjäder (T, §4), tofsmes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raggbock (VU, T), brunpudrad nållav (NT, T), dropptaggsvamp (NT, T), dvärgbägarlav (NT, T), gropticka (NT, T), kolflarnlav (NT, T), motaggsvamp (NT, T), skrovlig flatbagge (NT, T), ullticka (NT, T), vedskivlav (NT, T), vedtrappmossa (NT, T), bronshjon (S, T), flagellkvastmossa (S, T), granbarkgnagare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